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746E2" w14:textId="5F5AAE33" w:rsidR="009736CD" w:rsidRPr="00A661AE" w:rsidRDefault="009736CD" w:rsidP="002518E4">
      <w:pPr>
        <w:spacing w:after="0" w:line="240" w:lineRule="auto"/>
        <w:jc w:val="center"/>
        <w:rPr>
          <w:rFonts w:ascii="Times New Roman" w:hAnsi="Times New Roman" w:cs="Times New Roman"/>
          <w:b/>
          <w:bCs/>
          <w:sz w:val="24"/>
          <w:szCs w:val="24"/>
        </w:rPr>
      </w:pPr>
      <w:r w:rsidRPr="00A661AE">
        <w:rPr>
          <w:rFonts w:ascii="Times New Roman" w:hAnsi="Times New Roman" w:cs="Times New Roman"/>
          <w:b/>
          <w:bCs/>
          <w:sz w:val="24"/>
          <w:szCs w:val="24"/>
        </w:rPr>
        <w:t>DECRETO EJECUTIVO N° ___________-MEIC</w:t>
      </w:r>
    </w:p>
    <w:p w14:paraId="10473381" w14:textId="77777777" w:rsidR="009736CD" w:rsidRPr="00A661AE" w:rsidRDefault="009736CD" w:rsidP="002518E4">
      <w:pPr>
        <w:spacing w:after="0" w:line="240" w:lineRule="auto"/>
        <w:jc w:val="center"/>
        <w:rPr>
          <w:rFonts w:ascii="Times New Roman" w:hAnsi="Times New Roman" w:cs="Times New Roman"/>
          <w:b/>
          <w:bCs/>
          <w:sz w:val="24"/>
          <w:szCs w:val="24"/>
        </w:rPr>
      </w:pPr>
    </w:p>
    <w:p w14:paraId="168FA8D1" w14:textId="75AC96EC" w:rsidR="009736CD" w:rsidRPr="00A661AE" w:rsidRDefault="009736CD" w:rsidP="002518E4">
      <w:pPr>
        <w:spacing w:after="0" w:line="240" w:lineRule="auto"/>
        <w:jc w:val="center"/>
        <w:rPr>
          <w:rFonts w:ascii="Times New Roman" w:hAnsi="Times New Roman" w:cs="Times New Roman"/>
          <w:b/>
          <w:bCs/>
          <w:sz w:val="24"/>
          <w:szCs w:val="24"/>
        </w:rPr>
      </w:pPr>
      <w:r w:rsidRPr="00A661AE">
        <w:rPr>
          <w:rFonts w:ascii="Times New Roman" w:hAnsi="Times New Roman" w:cs="Times New Roman"/>
          <w:b/>
          <w:bCs/>
          <w:sz w:val="24"/>
          <w:szCs w:val="24"/>
        </w:rPr>
        <w:t>EL PRESIDENTE DE LA REPÚBLICA</w:t>
      </w:r>
    </w:p>
    <w:p w14:paraId="204C224F" w14:textId="399634AE" w:rsidR="009736CD" w:rsidRPr="00A661AE" w:rsidRDefault="009736CD" w:rsidP="002518E4">
      <w:pPr>
        <w:spacing w:after="0" w:line="240" w:lineRule="auto"/>
        <w:jc w:val="center"/>
        <w:rPr>
          <w:rFonts w:ascii="Times New Roman" w:hAnsi="Times New Roman" w:cs="Times New Roman"/>
          <w:b/>
          <w:bCs/>
          <w:sz w:val="24"/>
          <w:szCs w:val="24"/>
        </w:rPr>
      </w:pPr>
      <w:r w:rsidRPr="00A661AE">
        <w:rPr>
          <w:rFonts w:ascii="Times New Roman" w:hAnsi="Times New Roman" w:cs="Times New Roman"/>
          <w:b/>
          <w:bCs/>
          <w:sz w:val="24"/>
          <w:szCs w:val="24"/>
        </w:rPr>
        <w:t>Y EL MINISTRO DE ECONOMÍA, INDUSTRIA Y COMERCIO</w:t>
      </w:r>
    </w:p>
    <w:p w14:paraId="23CCF603" w14:textId="77777777" w:rsidR="009736CD" w:rsidRPr="00A661AE" w:rsidRDefault="009736CD" w:rsidP="002518E4">
      <w:pPr>
        <w:spacing w:after="0" w:line="240" w:lineRule="auto"/>
        <w:jc w:val="both"/>
        <w:rPr>
          <w:rFonts w:ascii="Times New Roman" w:hAnsi="Times New Roman" w:cs="Times New Roman"/>
          <w:sz w:val="24"/>
          <w:szCs w:val="24"/>
        </w:rPr>
      </w:pPr>
    </w:p>
    <w:p w14:paraId="0906853E" w14:textId="77777777" w:rsidR="009736CD" w:rsidRPr="00A661AE" w:rsidRDefault="009736CD" w:rsidP="002518E4">
      <w:pPr>
        <w:spacing w:after="0" w:line="240" w:lineRule="auto"/>
        <w:jc w:val="both"/>
        <w:rPr>
          <w:rFonts w:ascii="Times New Roman" w:hAnsi="Times New Roman" w:cs="Times New Roman"/>
          <w:sz w:val="24"/>
          <w:szCs w:val="24"/>
        </w:rPr>
      </w:pPr>
      <w:r w:rsidRPr="00A661AE">
        <w:rPr>
          <w:rFonts w:ascii="Times New Roman" w:hAnsi="Times New Roman" w:cs="Times New Roman"/>
          <w:sz w:val="24"/>
          <w:szCs w:val="24"/>
        </w:rPr>
        <w:t xml:space="preserve">En el ejercicio de las facultades que les confieren los artículos 140 incisos 3) y 18) y el 146 de la Constitución Política; el artículo 28 inciso 2) acápite b) de la Ley General de la Administración Pública, Ley </w:t>
      </w:r>
      <w:proofErr w:type="spellStart"/>
      <w:r w:rsidRPr="00A661AE">
        <w:rPr>
          <w:rFonts w:ascii="Times New Roman" w:hAnsi="Times New Roman" w:cs="Times New Roman"/>
          <w:sz w:val="24"/>
          <w:szCs w:val="24"/>
        </w:rPr>
        <w:t>Nº</w:t>
      </w:r>
      <w:proofErr w:type="spellEnd"/>
      <w:r w:rsidRPr="00A661AE">
        <w:rPr>
          <w:rFonts w:ascii="Times New Roman" w:hAnsi="Times New Roman" w:cs="Times New Roman"/>
          <w:sz w:val="24"/>
          <w:szCs w:val="24"/>
        </w:rPr>
        <w:t xml:space="preserve"> 6227 del 2 de mayo de 1978; y el artículo 5 de la Ley de Promoción de la Competencia y Defensa Efectiva del Consumidor, Ley </w:t>
      </w:r>
      <w:proofErr w:type="spellStart"/>
      <w:r w:rsidRPr="00A661AE">
        <w:rPr>
          <w:rFonts w:ascii="Times New Roman" w:hAnsi="Times New Roman" w:cs="Times New Roman"/>
          <w:sz w:val="24"/>
          <w:szCs w:val="24"/>
        </w:rPr>
        <w:t>Nº</w:t>
      </w:r>
      <w:proofErr w:type="spellEnd"/>
      <w:r w:rsidRPr="00A661AE">
        <w:rPr>
          <w:rFonts w:ascii="Times New Roman" w:hAnsi="Times New Roman" w:cs="Times New Roman"/>
          <w:sz w:val="24"/>
          <w:szCs w:val="24"/>
        </w:rPr>
        <w:t xml:space="preserve"> 7472 del 20 de diciembre de 1994.</w:t>
      </w:r>
    </w:p>
    <w:p w14:paraId="5A325F2F" w14:textId="77777777" w:rsidR="009736CD" w:rsidRPr="00A661AE" w:rsidRDefault="009736CD" w:rsidP="002518E4">
      <w:pPr>
        <w:spacing w:after="0" w:line="240" w:lineRule="auto"/>
        <w:jc w:val="both"/>
        <w:rPr>
          <w:rFonts w:ascii="Times New Roman" w:hAnsi="Times New Roman" w:cs="Times New Roman"/>
          <w:sz w:val="24"/>
          <w:szCs w:val="24"/>
        </w:rPr>
      </w:pPr>
    </w:p>
    <w:p w14:paraId="597A68BC" w14:textId="526FD758" w:rsidR="009736CD" w:rsidRPr="00A661AE" w:rsidRDefault="009736CD" w:rsidP="002518E4">
      <w:pPr>
        <w:spacing w:after="0" w:line="240" w:lineRule="auto"/>
        <w:jc w:val="center"/>
        <w:rPr>
          <w:rFonts w:ascii="Times New Roman" w:hAnsi="Times New Roman" w:cs="Times New Roman"/>
          <w:sz w:val="24"/>
          <w:szCs w:val="24"/>
        </w:rPr>
      </w:pPr>
      <w:r w:rsidRPr="00A661AE">
        <w:rPr>
          <w:rFonts w:ascii="Times New Roman" w:hAnsi="Times New Roman" w:cs="Times New Roman"/>
          <w:b/>
          <w:bCs/>
          <w:sz w:val="24"/>
          <w:szCs w:val="24"/>
        </w:rPr>
        <w:t>CONSIDERANDO</w:t>
      </w:r>
      <w:r w:rsidRPr="00A661AE">
        <w:rPr>
          <w:rFonts w:ascii="Times New Roman" w:hAnsi="Times New Roman" w:cs="Times New Roman"/>
          <w:sz w:val="24"/>
          <w:szCs w:val="24"/>
        </w:rPr>
        <w:t>:</w:t>
      </w:r>
    </w:p>
    <w:p w14:paraId="4A840C1B" w14:textId="77777777" w:rsidR="00035C2A" w:rsidRDefault="00035C2A" w:rsidP="00035C2A">
      <w:pPr>
        <w:pStyle w:val="NormalWeb"/>
        <w:spacing w:before="0" w:beforeAutospacing="0" w:after="0" w:afterAutospacing="0"/>
        <w:jc w:val="both"/>
        <w:rPr>
          <w:rFonts w:eastAsiaTheme="minorHAnsi"/>
          <w:lang w:val="es-CR" w:eastAsia="en-US"/>
        </w:rPr>
      </w:pPr>
    </w:p>
    <w:p w14:paraId="7816A3DE" w14:textId="16ABAC1D" w:rsidR="00035C2A" w:rsidRDefault="00035C2A" w:rsidP="00C664BA">
      <w:pPr>
        <w:pStyle w:val="NormalWeb"/>
        <w:numPr>
          <w:ilvl w:val="0"/>
          <w:numId w:val="7"/>
        </w:numPr>
        <w:spacing w:before="0" w:beforeAutospacing="0" w:after="0" w:afterAutospacing="0"/>
        <w:jc w:val="both"/>
        <w:rPr>
          <w:rFonts w:eastAsiaTheme="minorHAnsi"/>
          <w:lang w:val="es-CR" w:eastAsia="en-US"/>
        </w:rPr>
      </w:pPr>
      <w:r w:rsidRPr="00035C2A">
        <w:rPr>
          <w:rFonts w:eastAsiaTheme="minorHAnsi"/>
          <w:lang w:val="es-CR" w:eastAsia="en-US"/>
        </w:rPr>
        <w:t xml:space="preserve">Que, la Constitución Política plasma en el artículo 46, en concordancia con el 28 del mismo cuerpo normativo, un modelo de economía de mercado, que garantiza a toda persona el derecho a emprender cualquier actividad económica, siempre y cuando ésta no atente contra el orden público, las buenas costumbres o perjudique a terceros. </w:t>
      </w:r>
      <w:r w:rsidR="009F3F8A">
        <w:rPr>
          <w:rFonts w:eastAsiaTheme="minorHAnsi"/>
          <w:lang w:val="es-CR" w:eastAsia="en-US"/>
        </w:rPr>
        <w:t xml:space="preserve">Lo </w:t>
      </w:r>
      <w:r w:rsidRPr="00035C2A">
        <w:rPr>
          <w:rFonts w:eastAsiaTheme="minorHAnsi"/>
          <w:lang w:val="es-CR" w:eastAsia="en-US"/>
        </w:rPr>
        <w:t xml:space="preserve">no quiere decir que el Estado no esté facultado para </w:t>
      </w:r>
      <w:r w:rsidR="009F3F8A">
        <w:rPr>
          <w:rFonts w:eastAsiaTheme="minorHAnsi"/>
          <w:lang w:val="es-CR" w:eastAsia="en-US"/>
        </w:rPr>
        <w:t xml:space="preserve">regular </w:t>
      </w:r>
      <w:r w:rsidRPr="00035C2A">
        <w:rPr>
          <w:rFonts w:eastAsiaTheme="minorHAnsi"/>
          <w:lang w:val="es-CR" w:eastAsia="en-US"/>
        </w:rPr>
        <w:t>aquella actividad, preservando lógicamente un ámbito suficiente de libertad comercial, entre los particulares o de estos con el Estado. Sobre esta base, el constituyente consideró necesaria la intervención con el fin de evitar distorsiones en el mercado.</w:t>
      </w:r>
      <w:r w:rsidR="003972C4">
        <w:rPr>
          <w:rFonts w:eastAsiaTheme="minorHAnsi"/>
          <w:lang w:val="es-CR" w:eastAsia="en-US"/>
        </w:rPr>
        <w:t xml:space="preserve"> </w:t>
      </w:r>
    </w:p>
    <w:p w14:paraId="431F9BCA" w14:textId="77777777" w:rsidR="00C664BA" w:rsidRDefault="00C664BA" w:rsidP="00C664BA">
      <w:pPr>
        <w:pStyle w:val="NormalWeb"/>
        <w:spacing w:before="0" w:beforeAutospacing="0" w:after="0" w:afterAutospacing="0"/>
        <w:ind w:left="720"/>
        <w:jc w:val="both"/>
        <w:rPr>
          <w:rFonts w:eastAsiaTheme="minorHAnsi"/>
          <w:lang w:val="es-CR" w:eastAsia="en-US"/>
        </w:rPr>
      </w:pPr>
    </w:p>
    <w:p w14:paraId="492CBA63" w14:textId="77777777" w:rsidR="00035C2A" w:rsidRPr="00C664BA" w:rsidRDefault="00035C2A" w:rsidP="00C664BA">
      <w:pPr>
        <w:pStyle w:val="NormalWeb"/>
        <w:numPr>
          <w:ilvl w:val="0"/>
          <w:numId w:val="7"/>
        </w:numPr>
        <w:spacing w:before="0" w:beforeAutospacing="0" w:after="0" w:afterAutospacing="0"/>
        <w:jc w:val="both"/>
        <w:rPr>
          <w:rFonts w:eastAsiaTheme="minorHAnsi"/>
          <w:lang w:val="es-CR" w:eastAsia="en-US"/>
        </w:rPr>
      </w:pPr>
      <w:r w:rsidRPr="00C664BA">
        <w:rPr>
          <w:rFonts w:eastAsiaTheme="minorHAnsi"/>
          <w:lang w:val="es-CR" w:eastAsia="en-US"/>
        </w:rPr>
        <w:t>Que, en cuanto a este tema la Sala Constitucional ha señalado:</w:t>
      </w:r>
    </w:p>
    <w:p w14:paraId="1EBB33F2" w14:textId="10F606E9" w:rsidR="00035C2A" w:rsidRPr="00035C2A" w:rsidRDefault="00035C2A" w:rsidP="00035C2A">
      <w:pPr>
        <w:spacing w:after="0" w:line="240" w:lineRule="auto"/>
        <w:ind w:left="567"/>
        <w:jc w:val="both"/>
        <w:rPr>
          <w:rFonts w:ascii="Times New Roman" w:hAnsi="Times New Roman" w:cs="Times New Roman"/>
          <w:i/>
          <w:iCs/>
          <w:sz w:val="24"/>
          <w:szCs w:val="24"/>
        </w:rPr>
      </w:pPr>
      <w:r w:rsidRPr="00035C2A">
        <w:rPr>
          <w:rFonts w:ascii="Times New Roman" w:hAnsi="Times New Roman" w:cs="Times New Roman"/>
          <w:i/>
          <w:iCs/>
          <w:sz w:val="24"/>
          <w:szCs w:val="24"/>
        </w:rPr>
        <w:t xml:space="preserve">“Es a partir de la conjunción de lo dispuesto en varias disposiciones constitucionales, que la jurisprudencia constitucional ha reconocido la constitucionalidad de las diversas regulaciones que fijan los precios (mínimos o máximos) y los porcentajes máximos de utilidades de ciertos bienes y servicios: el artículo 28, que establece el sistema y principio de la libertad, por el cual es legítima la regulación de actividades privadas en resguardo del orden público; el artículo 46, del que se ha derivado la protección de la libertad de empresa, derecho que al no ser absoluto, admite regulaciones y limitaciones por motivos de interés público; el párrafo primero del artículo 50, del que deriva la facultad (o competencia) del Estado para intervenir en la economía, a través de la promoción y fomento de la actividad empresarial, en aras de una mejor distribución de la riqueza y de un sano equilibrio de la economía; y el artículo 74, que consagra los principios cristianos de justicia social y solidaridad; además de los principios constitucionales de razonabilidad y proporcionalidad. Estos principios son desarrollados (…) en el artículo 5 de </w:t>
      </w:r>
      <w:smartTag w:uri="urn:schemas-microsoft-com:office:smarttags" w:element="PersonName">
        <w:smartTagPr>
          <w:attr w:name="ProductID" w:val="la Ley"/>
        </w:smartTagPr>
        <w:r w:rsidRPr="00035C2A">
          <w:rPr>
            <w:rFonts w:ascii="Times New Roman" w:hAnsi="Times New Roman" w:cs="Times New Roman"/>
            <w:i/>
            <w:iCs/>
            <w:sz w:val="24"/>
            <w:szCs w:val="24"/>
          </w:rPr>
          <w:t>la Ley</w:t>
        </w:r>
      </w:smartTag>
      <w:r w:rsidRPr="00035C2A">
        <w:rPr>
          <w:rFonts w:ascii="Times New Roman" w:hAnsi="Times New Roman" w:cs="Times New Roman"/>
          <w:i/>
          <w:iCs/>
          <w:sz w:val="24"/>
          <w:szCs w:val="24"/>
        </w:rPr>
        <w:t xml:space="preserve"> de Promoción de </w:t>
      </w:r>
      <w:smartTag w:uri="urn:schemas-microsoft-com:office:smarttags" w:element="PersonName">
        <w:smartTagPr>
          <w:attr w:name="ProductID" w:val="la Competencia"/>
        </w:smartTagPr>
        <w:r w:rsidRPr="00035C2A">
          <w:rPr>
            <w:rFonts w:ascii="Times New Roman" w:hAnsi="Times New Roman" w:cs="Times New Roman"/>
            <w:i/>
            <w:iCs/>
            <w:sz w:val="24"/>
            <w:szCs w:val="24"/>
          </w:rPr>
          <w:t>la Competencia</w:t>
        </w:r>
      </w:smartTag>
      <w:r w:rsidRPr="00035C2A">
        <w:rPr>
          <w:rFonts w:ascii="Times New Roman" w:hAnsi="Times New Roman" w:cs="Times New Roman"/>
          <w:i/>
          <w:iCs/>
          <w:sz w:val="24"/>
          <w:szCs w:val="24"/>
        </w:rPr>
        <w:t xml:space="preserve"> y Defensa Efectiva del Consumidor, número 7472. Es con fundamento en este marco normativo (constitucional y legal) que esta Sala ha concluido la legitimidad de las fijaciones de precios y porcentajes de utilidad de los bienes y servicios, no sólo los incluidos en la canasta básica, sino de todos, exigiendo, únicamente que tales intervenciones sean motivadas (aplicación del principio constitucional de razonabilidad y proporcionalidad). Por ello, es que se concluye que este tipo de regulaciones [...] no lesionan las garantías de comercio, propiedad o libre empresa, como lo considera el accionante, por cuanto, sí tiene la administración la potestad de llevar a cabo el tipo de variaciones que aquí se recurren." (Véase al respecto las sentencias números 7022-94, 3016-95, 4285-95 y 1617-2005).</w:t>
      </w:r>
    </w:p>
    <w:p w14:paraId="4281109C" w14:textId="77777777" w:rsidR="00C041C5" w:rsidRDefault="00C041C5" w:rsidP="00C041C5">
      <w:pPr>
        <w:pStyle w:val="NormalWeb"/>
        <w:spacing w:before="0" w:beforeAutospacing="0" w:after="0" w:afterAutospacing="0"/>
        <w:jc w:val="both"/>
        <w:rPr>
          <w:lang w:val="es-MX"/>
        </w:rPr>
      </w:pPr>
    </w:p>
    <w:p w14:paraId="73B7F7F3" w14:textId="423D69E9" w:rsidR="00C041C5" w:rsidRPr="00536B8A" w:rsidRDefault="00C041C5" w:rsidP="00064117">
      <w:pPr>
        <w:pStyle w:val="NormalWeb"/>
        <w:numPr>
          <w:ilvl w:val="0"/>
          <w:numId w:val="7"/>
        </w:numPr>
        <w:spacing w:before="0" w:beforeAutospacing="0" w:after="0" w:afterAutospacing="0"/>
        <w:jc w:val="both"/>
        <w:rPr>
          <w:color w:val="000000"/>
        </w:rPr>
      </w:pPr>
      <w:r w:rsidRPr="00536B8A">
        <w:rPr>
          <w:color w:val="000000"/>
        </w:rPr>
        <w:t>Que, la Procuraduría General de la República se ha pronunciado en varias oportunidades</w:t>
      </w:r>
      <w:r w:rsidR="001E248B">
        <w:rPr>
          <w:color w:val="000000"/>
        </w:rPr>
        <w:t xml:space="preserve"> a los alcances del</w:t>
      </w:r>
      <w:r w:rsidR="001E248B" w:rsidRPr="001E248B">
        <w:rPr>
          <w:color w:val="000000"/>
        </w:rPr>
        <w:t xml:space="preserve"> artículo 5</w:t>
      </w:r>
      <w:r w:rsidR="001E248B">
        <w:rPr>
          <w:color w:val="000000"/>
        </w:rPr>
        <w:t xml:space="preserve"> de la Ley N° 7472</w:t>
      </w:r>
      <w:r>
        <w:rPr>
          <w:color w:val="000000"/>
        </w:rPr>
        <w:t>,</w:t>
      </w:r>
      <w:r w:rsidRPr="00536B8A">
        <w:rPr>
          <w:color w:val="000000"/>
        </w:rPr>
        <w:t xml:space="preserve"> reiterando el carácter excepcional y temporal de la </w:t>
      </w:r>
      <w:r w:rsidR="001E248B">
        <w:rPr>
          <w:color w:val="000000"/>
        </w:rPr>
        <w:t xml:space="preserve">regulación que se establezca </w:t>
      </w:r>
      <w:r>
        <w:rPr>
          <w:color w:val="000000"/>
        </w:rPr>
        <w:t>por parte del Estado.</w:t>
      </w:r>
      <w:r w:rsidRPr="00536B8A">
        <w:rPr>
          <w:color w:val="000000"/>
        </w:rPr>
        <w:t xml:space="preserve"> Al respecto ha indicado que: </w:t>
      </w:r>
    </w:p>
    <w:p w14:paraId="73B02268" w14:textId="45091B9C" w:rsidR="00C041C5" w:rsidRPr="00536B8A" w:rsidRDefault="00C041C5" w:rsidP="00C041C5">
      <w:pPr>
        <w:pStyle w:val="NormalWeb"/>
        <w:spacing w:before="0" w:beforeAutospacing="0" w:after="0" w:afterAutospacing="0"/>
        <w:ind w:left="720"/>
        <w:jc w:val="both"/>
        <w:rPr>
          <w:color w:val="000000"/>
        </w:rPr>
      </w:pPr>
    </w:p>
    <w:p w14:paraId="4724D6CF" w14:textId="676875E0" w:rsidR="00C041C5" w:rsidRPr="00536B8A" w:rsidRDefault="00C041C5" w:rsidP="00C041C5">
      <w:pPr>
        <w:pStyle w:val="NormalWeb"/>
        <w:spacing w:before="0" w:beforeAutospacing="0" w:after="0" w:afterAutospacing="0"/>
        <w:ind w:left="567"/>
        <w:jc w:val="both"/>
        <w:rPr>
          <w:i/>
          <w:iCs/>
          <w:color w:val="000000"/>
        </w:rPr>
      </w:pPr>
      <w:r w:rsidRPr="00536B8A">
        <w:rPr>
          <w:i/>
          <w:iCs/>
          <w:color w:val="000000"/>
        </w:rPr>
        <w:t>“(…)</w:t>
      </w:r>
    </w:p>
    <w:p w14:paraId="21A298B1" w14:textId="2D7F02C5" w:rsidR="00C041C5" w:rsidRDefault="00C041C5" w:rsidP="00C041C5">
      <w:pPr>
        <w:pStyle w:val="NormalWeb"/>
        <w:spacing w:before="0" w:beforeAutospacing="0" w:after="0" w:afterAutospacing="0"/>
        <w:ind w:left="567"/>
        <w:jc w:val="both"/>
        <w:rPr>
          <w:i/>
          <w:iCs/>
          <w:color w:val="000000"/>
        </w:rPr>
      </w:pPr>
    </w:p>
    <w:p w14:paraId="6B5193BF" w14:textId="6B804268" w:rsidR="00C041C5" w:rsidRPr="00536B8A" w:rsidRDefault="00C041C5" w:rsidP="00C041C5">
      <w:pPr>
        <w:pStyle w:val="NormalWeb"/>
        <w:spacing w:before="0" w:beforeAutospacing="0" w:after="0" w:afterAutospacing="0"/>
        <w:ind w:left="567"/>
        <w:jc w:val="both"/>
        <w:rPr>
          <w:i/>
          <w:iCs/>
          <w:color w:val="000000"/>
          <w:u w:val="single"/>
        </w:rPr>
      </w:pPr>
      <w:r w:rsidRPr="00536B8A">
        <w:rPr>
          <w:i/>
          <w:iCs/>
          <w:color w:val="000000"/>
        </w:rPr>
        <w:t>Carácter excepcional: la competencia administrativa sólo puede ejercerse cuando existan motivos que lo justifiquen, lo que implica que deben existir dentro del mercado situaciones que afectan la libre concurrencia y que impiden que ésta actúe como reguladora de los precios. Por ello, la medida debe ser motivada…</w:t>
      </w:r>
      <w:r w:rsidRPr="00536B8A">
        <w:rPr>
          <w:i/>
          <w:iCs/>
          <w:color w:val="000000"/>
          <w:u w:val="single"/>
        </w:rPr>
        <w:t xml:space="preserve"> </w:t>
      </w:r>
    </w:p>
    <w:p w14:paraId="339DEA58" w14:textId="3280868B" w:rsidR="00C041C5" w:rsidRPr="00536B8A" w:rsidRDefault="00C041C5" w:rsidP="00C041C5">
      <w:pPr>
        <w:pStyle w:val="NormalWeb"/>
        <w:spacing w:before="0" w:beforeAutospacing="0" w:after="0" w:afterAutospacing="0"/>
        <w:ind w:left="567"/>
        <w:jc w:val="both"/>
        <w:rPr>
          <w:i/>
          <w:iCs/>
          <w:color w:val="000000"/>
          <w:u w:val="single"/>
        </w:rPr>
      </w:pPr>
    </w:p>
    <w:p w14:paraId="62483B52" w14:textId="79716761" w:rsidR="00C041C5" w:rsidRDefault="00C041C5" w:rsidP="00C041C5">
      <w:pPr>
        <w:pStyle w:val="NormalWeb"/>
        <w:spacing w:before="0" w:beforeAutospacing="0" w:after="0" w:afterAutospacing="0"/>
        <w:ind w:left="567"/>
        <w:jc w:val="both"/>
        <w:rPr>
          <w:i/>
          <w:iCs/>
          <w:color w:val="000000"/>
        </w:rPr>
      </w:pPr>
      <w:r w:rsidRPr="00536B8A">
        <w:rPr>
          <w:i/>
          <w:iCs/>
          <w:color w:val="000000"/>
        </w:rPr>
        <w:t xml:space="preserve">La regulación de precios es temporal y tiene como efecto dar una respuesta oficial a una situación excepcional que está llamada a desaparecer, sea por la acción del mercado sea por la adopción de medidas administrativas dirigidas directamente a esa desaparición. Refuerza esa temporalidad, el hecho de que se prevea la revisión cada seis meses de la medida o cuando, en cualquier momento, lo soliciten los interesados. </w:t>
      </w:r>
    </w:p>
    <w:p w14:paraId="33F442AF" w14:textId="0E97DBDE" w:rsidR="00C041C5" w:rsidRDefault="00C041C5" w:rsidP="00C041C5">
      <w:pPr>
        <w:pStyle w:val="NormalWeb"/>
        <w:spacing w:before="0" w:beforeAutospacing="0" w:after="0" w:afterAutospacing="0"/>
        <w:ind w:left="567"/>
        <w:jc w:val="both"/>
        <w:rPr>
          <w:i/>
          <w:iCs/>
          <w:color w:val="000000"/>
        </w:rPr>
      </w:pPr>
    </w:p>
    <w:p w14:paraId="4C33F16F" w14:textId="6D822F74" w:rsidR="00C041C5" w:rsidRDefault="00C041C5" w:rsidP="00C041C5">
      <w:pPr>
        <w:pStyle w:val="NormalWeb"/>
        <w:spacing w:before="0" w:beforeAutospacing="0" w:after="0" w:afterAutospacing="0"/>
        <w:ind w:left="567"/>
        <w:jc w:val="both"/>
        <w:rPr>
          <w:i/>
          <w:iCs/>
          <w:color w:val="000000"/>
        </w:rPr>
      </w:pPr>
      <w:r w:rsidRPr="00536B8A">
        <w:rPr>
          <w:i/>
          <w:iCs/>
          <w:color w:val="000000"/>
          <w:u w:val="single"/>
        </w:rPr>
        <w:t xml:space="preserve">Es claro </w:t>
      </w:r>
      <w:proofErr w:type="gramStart"/>
      <w:r w:rsidRPr="00536B8A">
        <w:rPr>
          <w:i/>
          <w:iCs/>
          <w:color w:val="000000"/>
          <w:u w:val="single"/>
        </w:rPr>
        <w:t>que</w:t>
      </w:r>
      <w:proofErr w:type="gramEnd"/>
      <w:r w:rsidRPr="00536B8A">
        <w:rPr>
          <w:i/>
          <w:iCs/>
          <w:color w:val="000000"/>
          <w:u w:val="single"/>
        </w:rPr>
        <w:t xml:space="preserve"> si la fijación es excepcional, la revisión no va a tener como objeto directo y en todo caso exclusivo, el reajustar precios</w:t>
      </w:r>
      <w:r w:rsidRPr="00536B8A">
        <w:rPr>
          <w:i/>
          <w:iCs/>
          <w:color w:val="000000"/>
        </w:rPr>
        <w:t xml:space="preserve">. </w:t>
      </w:r>
      <w:r w:rsidRPr="00536B8A">
        <w:rPr>
          <w:i/>
          <w:iCs/>
          <w:color w:val="000000"/>
          <w:u w:val="single"/>
        </w:rPr>
        <w:t>Por el contrario, la revisión debe tener como objeto el determinar si persisten las causas que justifican una intervención excepcional en el mercado, como es la fijación de precios.</w:t>
      </w:r>
      <w:r w:rsidRPr="00536B8A">
        <w:rPr>
          <w:i/>
          <w:iCs/>
          <w:color w:val="000000"/>
        </w:rPr>
        <w:t xml:space="preserve"> Persistencia de la que depende la necesidad y conveniencia de la medida. De lo que se deriva implícitamente que la condición excepcional que justifica la medida oficial puede, entonces, desaparecer. </w:t>
      </w:r>
    </w:p>
    <w:p w14:paraId="733AF2E4" w14:textId="77777777" w:rsidR="00064117" w:rsidRPr="00536B8A" w:rsidRDefault="00064117" w:rsidP="00C041C5">
      <w:pPr>
        <w:pStyle w:val="NormalWeb"/>
        <w:spacing w:before="0" w:beforeAutospacing="0" w:after="0" w:afterAutospacing="0"/>
        <w:ind w:left="567"/>
        <w:jc w:val="both"/>
        <w:rPr>
          <w:i/>
          <w:iCs/>
          <w:color w:val="000000"/>
        </w:rPr>
      </w:pPr>
    </w:p>
    <w:p w14:paraId="11139067" w14:textId="36978746" w:rsidR="00064117" w:rsidRDefault="00575CC9" w:rsidP="00064117">
      <w:pPr>
        <w:pStyle w:val="NormalWeb"/>
        <w:spacing w:before="0" w:beforeAutospacing="0" w:after="0" w:afterAutospacing="0"/>
        <w:ind w:firstLine="567"/>
        <w:jc w:val="both"/>
        <w:rPr>
          <w:i/>
          <w:iCs/>
          <w:color w:val="000000"/>
        </w:rPr>
      </w:pPr>
      <w:r>
        <w:rPr>
          <w:i/>
          <w:iCs/>
          <w:color w:val="000000"/>
        </w:rPr>
        <w:t>(…)</w:t>
      </w:r>
      <w:r w:rsidR="00B3192E">
        <w:rPr>
          <w:i/>
          <w:iCs/>
          <w:color w:val="000000"/>
        </w:rPr>
        <w:t>”</w:t>
      </w:r>
      <w:r w:rsidR="00064117">
        <w:rPr>
          <w:i/>
          <w:iCs/>
          <w:color w:val="000000"/>
        </w:rPr>
        <w:t>.</w:t>
      </w:r>
    </w:p>
    <w:p w14:paraId="5F3C55EF" w14:textId="77777777" w:rsidR="00064117" w:rsidRPr="00064117" w:rsidRDefault="00064117" w:rsidP="00064117">
      <w:pPr>
        <w:pStyle w:val="NormalWeb"/>
        <w:spacing w:before="0" w:beforeAutospacing="0" w:after="0" w:afterAutospacing="0"/>
        <w:ind w:firstLine="567"/>
        <w:jc w:val="both"/>
        <w:rPr>
          <w:lang w:eastAsia="es-CR"/>
        </w:rPr>
      </w:pPr>
    </w:p>
    <w:p w14:paraId="68209AAB" w14:textId="429F2666" w:rsidR="003A4699" w:rsidRPr="00C664BA" w:rsidRDefault="003A4699" w:rsidP="00C664BA">
      <w:pPr>
        <w:pStyle w:val="NormalWeb"/>
        <w:numPr>
          <w:ilvl w:val="0"/>
          <w:numId w:val="7"/>
        </w:numPr>
        <w:spacing w:before="0" w:beforeAutospacing="0" w:after="0" w:afterAutospacing="0"/>
        <w:jc w:val="both"/>
        <w:rPr>
          <w:lang w:eastAsia="es-CR"/>
        </w:rPr>
      </w:pPr>
      <w:r w:rsidRPr="00536B8A">
        <w:rPr>
          <w:lang w:val="es-MX"/>
        </w:rPr>
        <w:t xml:space="preserve">Que, le corresponde </w:t>
      </w:r>
      <w:r>
        <w:rPr>
          <w:lang w:val="es-MX"/>
        </w:rPr>
        <w:t xml:space="preserve">al </w:t>
      </w:r>
      <w:r w:rsidRPr="00536B8A">
        <w:rPr>
          <w:lang w:val="es-MX"/>
        </w:rPr>
        <w:t>Ministerio de Economía, Industria y Comercio (MEIC), ser el Ente Rector de las políticas públicas de</w:t>
      </w:r>
      <w:r>
        <w:rPr>
          <w:lang w:val="es-MX"/>
        </w:rPr>
        <w:t>l</w:t>
      </w:r>
      <w:r w:rsidRPr="00536B8A">
        <w:rPr>
          <w:lang w:val="es-MX"/>
        </w:rPr>
        <w:t xml:space="preserve"> Estado en materia de Promoción a la Competencia y Defensa Efectiva del Consumidor;</w:t>
      </w:r>
      <w:r w:rsidR="00602E22">
        <w:rPr>
          <w:lang w:val="es-MX"/>
        </w:rPr>
        <w:t xml:space="preserve"> lo que incluye las medidas de regulación de precios, establecimiento de márgenes o </w:t>
      </w:r>
      <w:r w:rsidR="00E0759C">
        <w:rPr>
          <w:lang w:val="es-MX"/>
        </w:rPr>
        <w:t>cualquier otra forma de contr</w:t>
      </w:r>
      <w:r w:rsidR="00F10EA0">
        <w:rPr>
          <w:lang w:val="es-MX"/>
        </w:rPr>
        <w:t>o</w:t>
      </w:r>
      <w:r w:rsidR="00E0759C">
        <w:rPr>
          <w:lang w:val="es-MX"/>
        </w:rPr>
        <w:t xml:space="preserve">l </w:t>
      </w:r>
      <w:r w:rsidR="00602E22">
        <w:rPr>
          <w:lang w:val="es-MX"/>
        </w:rPr>
        <w:t xml:space="preserve">de conformidad con </w:t>
      </w:r>
      <w:r w:rsidR="00E0759C">
        <w:rPr>
          <w:lang w:val="es-MX"/>
        </w:rPr>
        <w:t>el artículo 5 de</w:t>
      </w:r>
      <w:r w:rsidR="00602E22">
        <w:rPr>
          <w:lang w:val="es-MX"/>
        </w:rPr>
        <w:t xml:space="preserve"> Ley N° 7472., razón por la que </w:t>
      </w:r>
      <w:r w:rsidR="00F10EA0">
        <w:rPr>
          <w:lang w:val="es-MX"/>
        </w:rPr>
        <w:t>e</w:t>
      </w:r>
      <w:r w:rsidRPr="00536B8A">
        <w:rPr>
          <w:lang w:val="es-MX"/>
        </w:rPr>
        <w:t>n virtud de lo señalado, las políticas que se adopten al respecto deben ir de la mano de ambos mandatos, en procura de estabilizar el mercado nacional, logrando con ello un adecuado reparto de la riqueza, tal y como lo enuncia el artículo 50 de la Carta Fundamental.</w:t>
      </w:r>
    </w:p>
    <w:p w14:paraId="70D43DF1" w14:textId="77777777" w:rsidR="00C664BA" w:rsidRPr="00C664BA" w:rsidRDefault="00C664BA" w:rsidP="00C664BA">
      <w:pPr>
        <w:pStyle w:val="NormalWeb"/>
        <w:spacing w:before="0" w:beforeAutospacing="0" w:after="0" w:afterAutospacing="0"/>
        <w:ind w:left="720"/>
        <w:jc w:val="both"/>
        <w:rPr>
          <w:lang w:eastAsia="es-CR"/>
        </w:rPr>
      </w:pPr>
    </w:p>
    <w:p w14:paraId="4A2F51CB" w14:textId="5216E591" w:rsidR="00C041C5" w:rsidRPr="00350125" w:rsidRDefault="00C664BA" w:rsidP="00064117">
      <w:pPr>
        <w:pStyle w:val="NormalWeb"/>
        <w:numPr>
          <w:ilvl w:val="0"/>
          <w:numId w:val="7"/>
        </w:numPr>
        <w:spacing w:before="0" w:beforeAutospacing="0" w:after="0" w:afterAutospacing="0"/>
        <w:jc w:val="both"/>
        <w:rPr>
          <w:lang w:eastAsia="es-CR"/>
        </w:rPr>
      </w:pPr>
      <w:r w:rsidRPr="00C664BA">
        <w:rPr>
          <w:color w:val="000000"/>
        </w:rPr>
        <w:t xml:space="preserve">Que, el artículo 5 de la Ley </w:t>
      </w:r>
      <w:proofErr w:type="spellStart"/>
      <w:r w:rsidRPr="00C664BA">
        <w:rPr>
          <w:color w:val="000000"/>
        </w:rPr>
        <w:t>Nº</w:t>
      </w:r>
      <w:proofErr w:type="spellEnd"/>
      <w:r w:rsidRPr="00C664BA">
        <w:rPr>
          <w:color w:val="000000"/>
        </w:rPr>
        <w:t xml:space="preserve"> 7472, establece la regulación de precios como una medida de excepción y de carácter temporal, que opera cuando existan casos en los cuales el mercado no pueda resolver por sí solo una situación que resulte de interés para el Estado, sea porque altera las condiciones normales</w:t>
      </w:r>
      <w:r w:rsidR="00064117">
        <w:rPr>
          <w:lang w:eastAsia="es-CR"/>
        </w:rPr>
        <w:t xml:space="preserve"> </w:t>
      </w:r>
      <w:r w:rsidR="00C041C5" w:rsidRPr="00064117">
        <w:rPr>
          <w:color w:val="000000"/>
        </w:rPr>
        <w:t xml:space="preserve">de un mercado eficiente o porque no logra desarrollar a cabalidad los postulados del Estado Social de Derecho, al respecto señala el artículo en mención:  </w:t>
      </w:r>
    </w:p>
    <w:p w14:paraId="7668E887" w14:textId="77777777" w:rsidR="00F10EA0" w:rsidRDefault="00F10EA0" w:rsidP="00350125">
      <w:pPr>
        <w:pStyle w:val="Prrafodelista"/>
        <w:rPr>
          <w:lang w:eastAsia="es-CR"/>
        </w:rPr>
      </w:pPr>
    </w:p>
    <w:p w14:paraId="43CEFA66" w14:textId="77777777" w:rsidR="00F10EA0" w:rsidRPr="00C664BA" w:rsidRDefault="00F10EA0" w:rsidP="00350125">
      <w:pPr>
        <w:pStyle w:val="NormalWeb"/>
        <w:spacing w:before="0" w:beforeAutospacing="0" w:after="0" w:afterAutospacing="0"/>
        <w:ind w:left="720"/>
        <w:jc w:val="both"/>
        <w:rPr>
          <w:lang w:eastAsia="es-CR"/>
        </w:rPr>
      </w:pPr>
    </w:p>
    <w:p w14:paraId="4D683B03" w14:textId="368502E8" w:rsidR="00C041C5" w:rsidRDefault="00C041C5" w:rsidP="00C21F43">
      <w:pPr>
        <w:pStyle w:val="NormalWeb"/>
        <w:spacing w:before="0" w:beforeAutospacing="0" w:after="0" w:afterAutospacing="0"/>
        <w:ind w:left="708"/>
        <w:jc w:val="both"/>
        <w:rPr>
          <w:i/>
          <w:iCs/>
          <w:color w:val="000000"/>
        </w:rPr>
      </w:pPr>
      <w:r w:rsidRPr="00536B8A">
        <w:rPr>
          <w:i/>
          <w:iCs/>
          <w:color w:val="000000"/>
        </w:rPr>
        <w:t>“ARTÍCULO 5.-Casos en que procede la regulación de precios.</w:t>
      </w:r>
    </w:p>
    <w:p w14:paraId="5CA4646C" w14:textId="099287C5" w:rsidR="00C041C5" w:rsidRPr="00C041C5" w:rsidRDefault="00C041C5" w:rsidP="00C21F43">
      <w:pPr>
        <w:pStyle w:val="NormalWeb"/>
        <w:spacing w:before="0" w:beforeAutospacing="0" w:after="0" w:afterAutospacing="0"/>
        <w:ind w:left="708"/>
        <w:jc w:val="both"/>
        <w:rPr>
          <w:i/>
          <w:color w:val="000000"/>
        </w:rPr>
      </w:pPr>
      <w:r w:rsidRPr="00536B8A">
        <w:rPr>
          <w:i/>
          <w:color w:val="000000"/>
        </w:rPr>
        <w:t xml:space="preserve"> </w:t>
      </w:r>
    </w:p>
    <w:p w14:paraId="29AD6EFC" w14:textId="402C3229" w:rsidR="00C041C5" w:rsidRPr="00536B8A" w:rsidRDefault="00C041C5" w:rsidP="00C21F43">
      <w:pPr>
        <w:pStyle w:val="NormalWeb"/>
        <w:spacing w:before="0" w:beforeAutospacing="0" w:after="0" w:afterAutospacing="0"/>
        <w:ind w:left="708"/>
        <w:jc w:val="both"/>
        <w:rPr>
          <w:i/>
          <w:iCs/>
          <w:color w:val="000000"/>
        </w:rPr>
      </w:pPr>
      <w:r w:rsidRPr="00536B8A">
        <w:rPr>
          <w:i/>
          <w:iCs/>
          <w:color w:val="000000"/>
        </w:rPr>
        <w:t>La Administración Pública puede regular los precios de bienes y servicios sólo en situaciones de excepción, en forma temporal; en tal caso, debe fundar y motivar apropiadamente esa medida. Esta facultad no puede ejercerse cuando un producto o servicio es vendido o prestado por la Administración Pública, en concurrencia con particulares, en virtud de las funciones de estabilización de precios que expresamente se señalen en la ley.</w:t>
      </w:r>
      <w:r w:rsidRPr="00536B8A">
        <w:rPr>
          <w:i/>
          <w:color w:val="000000"/>
        </w:rPr>
        <w:t xml:space="preserve"> </w:t>
      </w:r>
    </w:p>
    <w:p w14:paraId="1C818074" w14:textId="7A8D1FAA" w:rsidR="00C041C5" w:rsidRDefault="00C041C5" w:rsidP="00C21F43">
      <w:pPr>
        <w:pStyle w:val="NormalWeb"/>
        <w:spacing w:before="0" w:beforeAutospacing="0" w:after="0" w:afterAutospacing="0"/>
        <w:ind w:left="708"/>
        <w:jc w:val="both"/>
        <w:rPr>
          <w:i/>
          <w:iCs/>
          <w:color w:val="000000"/>
        </w:rPr>
      </w:pPr>
    </w:p>
    <w:p w14:paraId="524B4FDF" w14:textId="31A46364" w:rsidR="00C041C5" w:rsidRDefault="00C041C5" w:rsidP="00C21F43">
      <w:pPr>
        <w:pStyle w:val="NormalWeb"/>
        <w:spacing w:before="0" w:beforeAutospacing="0" w:after="0" w:afterAutospacing="0"/>
        <w:ind w:left="708"/>
        <w:jc w:val="both"/>
        <w:rPr>
          <w:i/>
          <w:iCs/>
          <w:color w:val="000000"/>
        </w:rPr>
      </w:pPr>
      <w:r>
        <w:rPr>
          <w:i/>
          <w:iCs/>
          <w:color w:val="000000"/>
        </w:rPr>
        <w:t>(…)</w:t>
      </w:r>
    </w:p>
    <w:p w14:paraId="7F2FA695" w14:textId="3F14100A" w:rsidR="00C041C5" w:rsidRPr="00536B8A" w:rsidRDefault="00C041C5" w:rsidP="00C21F43">
      <w:pPr>
        <w:pStyle w:val="NormalWeb"/>
        <w:spacing w:before="0" w:beforeAutospacing="0" w:after="0" w:afterAutospacing="0"/>
        <w:ind w:left="708"/>
        <w:jc w:val="both"/>
        <w:rPr>
          <w:i/>
          <w:iCs/>
          <w:color w:val="000000"/>
        </w:rPr>
      </w:pPr>
    </w:p>
    <w:p w14:paraId="2E440EC8" w14:textId="567ADFDF" w:rsidR="00C041C5" w:rsidRPr="00536B8A" w:rsidRDefault="00C041C5" w:rsidP="00C21F43">
      <w:pPr>
        <w:pStyle w:val="NormalWeb"/>
        <w:spacing w:before="0" w:beforeAutospacing="0" w:after="0" w:afterAutospacing="0"/>
        <w:ind w:left="708"/>
        <w:jc w:val="both"/>
        <w:rPr>
          <w:i/>
          <w:color w:val="000000"/>
        </w:rPr>
      </w:pPr>
      <w:r w:rsidRPr="00536B8A">
        <w:rPr>
          <w:i/>
          <w:iCs/>
          <w:color w:val="000000"/>
        </w:rPr>
        <w:t>La regulación referida en los párrafos anteriores de este artículo, puede realizarse mediante la fijación de precios, el establecimiento de márgenes de comercialización o cualquier otra forma de control. Los funcionarios del Ministerio de Economía, Industria y Comercio están facultados para verificar el cumplimiento correcto de la regulación de precios mencionada en este artículo.”</w:t>
      </w:r>
      <w:r w:rsidRPr="00536B8A">
        <w:rPr>
          <w:i/>
          <w:color w:val="000000"/>
        </w:rPr>
        <w:t xml:space="preserve"> </w:t>
      </w:r>
    </w:p>
    <w:p w14:paraId="6DA2943B" w14:textId="77777777" w:rsidR="002518E4" w:rsidRPr="00C041C5" w:rsidRDefault="002518E4" w:rsidP="002518E4">
      <w:pPr>
        <w:spacing w:after="0" w:line="240" w:lineRule="auto"/>
        <w:jc w:val="both"/>
        <w:rPr>
          <w:rFonts w:ascii="Times New Roman" w:hAnsi="Times New Roman" w:cs="Times New Roman"/>
          <w:sz w:val="24"/>
          <w:szCs w:val="24"/>
          <w:lang w:val="es-ES"/>
        </w:rPr>
      </w:pPr>
    </w:p>
    <w:p w14:paraId="02B2EFDC" w14:textId="59F14924" w:rsidR="00873CF0" w:rsidRPr="00C21F43" w:rsidRDefault="00873CF0" w:rsidP="00C21F43">
      <w:pPr>
        <w:pStyle w:val="Prrafodelista"/>
        <w:numPr>
          <w:ilvl w:val="0"/>
          <w:numId w:val="7"/>
        </w:numPr>
        <w:spacing w:after="0" w:line="240" w:lineRule="auto"/>
        <w:jc w:val="both"/>
        <w:rPr>
          <w:rFonts w:ascii="Times New Roman" w:hAnsi="Times New Roman" w:cs="Times New Roman"/>
          <w:sz w:val="24"/>
          <w:szCs w:val="24"/>
        </w:rPr>
      </w:pPr>
      <w:r w:rsidRPr="00C21F43">
        <w:rPr>
          <w:rFonts w:ascii="Times New Roman" w:hAnsi="Times New Roman" w:cs="Times New Roman"/>
          <w:sz w:val="24"/>
          <w:szCs w:val="24"/>
        </w:rPr>
        <w:t>Que</w:t>
      </w:r>
      <w:r w:rsidR="002518E4" w:rsidRPr="00C21F43">
        <w:rPr>
          <w:rFonts w:ascii="Times New Roman" w:hAnsi="Times New Roman" w:cs="Times New Roman"/>
          <w:sz w:val="24"/>
          <w:szCs w:val="24"/>
        </w:rPr>
        <w:t>,</w:t>
      </w:r>
      <w:r w:rsidRPr="00C21F43">
        <w:rPr>
          <w:rFonts w:ascii="Times New Roman" w:hAnsi="Times New Roman" w:cs="Times New Roman"/>
          <w:sz w:val="24"/>
          <w:szCs w:val="24"/>
        </w:rPr>
        <w:t xml:space="preserve"> el artículo 13 inciso a) del Decreto Ejecutivo N° 37899-MEIC, Reglamento a la Ley de Promoción de la Competencia y Defensa Efectiva del Consumidor, establece las condiciones anormales mediante las cuales procede la regulación de precios.</w:t>
      </w:r>
    </w:p>
    <w:p w14:paraId="33A9FED9" w14:textId="77777777" w:rsidR="002518E4" w:rsidRPr="002518E4" w:rsidRDefault="002518E4" w:rsidP="002518E4">
      <w:pPr>
        <w:spacing w:after="0" w:line="240" w:lineRule="auto"/>
        <w:jc w:val="both"/>
        <w:rPr>
          <w:rFonts w:ascii="Times New Roman" w:hAnsi="Times New Roman" w:cs="Times New Roman"/>
          <w:sz w:val="24"/>
          <w:szCs w:val="24"/>
        </w:rPr>
      </w:pPr>
    </w:p>
    <w:p w14:paraId="05CAA8EB" w14:textId="5663B28C" w:rsidR="009736CD" w:rsidRPr="00064117" w:rsidRDefault="009736CD" w:rsidP="00C21F43">
      <w:pPr>
        <w:pStyle w:val="Prrafodelista"/>
        <w:numPr>
          <w:ilvl w:val="0"/>
          <w:numId w:val="7"/>
        </w:numPr>
        <w:spacing w:after="0" w:line="240" w:lineRule="auto"/>
        <w:jc w:val="both"/>
        <w:rPr>
          <w:rFonts w:ascii="Times New Roman" w:hAnsi="Times New Roman" w:cs="Times New Roman"/>
          <w:sz w:val="24"/>
          <w:szCs w:val="24"/>
        </w:rPr>
      </w:pPr>
      <w:r w:rsidRPr="00C21F43">
        <w:rPr>
          <w:rFonts w:ascii="Times New Roman" w:hAnsi="Times New Roman" w:cs="Times New Roman"/>
          <w:sz w:val="24"/>
          <w:szCs w:val="24"/>
        </w:rPr>
        <w:t>Que</w:t>
      </w:r>
      <w:r w:rsidR="002518E4" w:rsidRPr="00C21F43">
        <w:rPr>
          <w:rFonts w:ascii="Times New Roman" w:hAnsi="Times New Roman" w:cs="Times New Roman"/>
          <w:sz w:val="24"/>
          <w:szCs w:val="24"/>
        </w:rPr>
        <w:t>,</w:t>
      </w:r>
      <w:r w:rsidRPr="00C21F43">
        <w:rPr>
          <w:rFonts w:ascii="Times New Roman" w:hAnsi="Times New Roman" w:cs="Times New Roman"/>
          <w:sz w:val="24"/>
          <w:szCs w:val="24"/>
        </w:rPr>
        <w:t xml:space="preserve"> el </w:t>
      </w:r>
      <w:r w:rsidR="00FB2D77" w:rsidRPr="00C21F43">
        <w:rPr>
          <w:rFonts w:ascii="Times New Roman" w:hAnsi="Times New Roman" w:cs="Times New Roman"/>
          <w:sz w:val="24"/>
          <w:szCs w:val="24"/>
        </w:rPr>
        <w:t>Estado</w:t>
      </w:r>
      <w:r w:rsidRPr="00C21F43">
        <w:rPr>
          <w:rFonts w:ascii="Times New Roman" w:hAnsi="Times New Roman" w:cs="Times New Roman"/>
          <w:sz w:val="24"/>
          <w:szCs w:val="24"/>
        </w:rPr>
        <w:t>, como parte de sus</w:t>
      </w:r>
      <w:r w:rsidR="00FB2D77" w:rsidRPr="00C21F43">
        <w:rPr>
          <w:rFonts w:ascii="Times New Roman" w:hAnsi="Times New Roman" w:cs="Times New Roman"/>
          <w:sz w:val="24"/>
          <w:szCs w:val="24"/>
        </w:rPr>
        <w:t xml:space="preserve"> obligaciones</w:t>
      </w:r>
      <w:r w:rsidRPr="00C21F43">
        <w:rPr>
          <w:rFonts w:ascii="Times New Roman" w:hAnsi="Times New Roman" w:cs="Times New Roman"/>
          <w:sz w:val="24"/>
          <w:szCs w:val="24"/>
        </w:rPr>
        <w:t xml:space="preserve">, </w:t>
      </w:r>
      <w:r w:rsidR="00FB2D77" w:rsidRPr="00C21F43">
        <w:rPr>
          <w:rFonts w:ascii="Times New Roman" w:hAnsi="Times New Roman" w:cs="Times New Roman"/>
          <w:sz w:val="24"/>
          <w:szCs w:val="24"/>
        </w:rPr>
        <w:t>y tal como ha indicado la Sala Constitucional “</w:t>
      </w:r>
      <w:r w:rsidR="00FB2D77" w:rsidRPr="00C21F43">
        <w:rPr>
          <w:rFonts w:ascii="Times New Roman" w:hAnsi="Times New Roman" w:cs="Times New Roman"/>
          <w:i/>
          <w:iCs/>
          <w:sz w:val="24"/>
          <w:szCs w:val="24"/>
        </w:rPr>
        <w:t>… debe asumir la responsabilidad de lograr las condiciones sociales propicias a fin de que cada persona pueda disfrutar de su salud, entendido tal derecho, como una situación de bienestar físico, psíquico (o mental) y social</w:t>
      </w:r>
      <w:r w:rsidR="00FB2D77" w:rsidRPr="00C21F43">
        <w:rPr>
          <w:rFonts w:ascii="Times New Roman" w:hAnsi="Times New Roman" w:cs="Times New Roman"/>
          <w:sz w:val="24"/>
          <w:szCs w:val="24"/>
        </w:rPr>
        <w:t xml:space="preserve">." (Sentencia N° 180-98 de dieciséis horas del trece de enero de mil novecientos noventa y ocho). En ese sentido, es necesario velar por el adecuado funcionamiento </w:t>
      </w:r>
      <w:r w:rsidRPr="00C21F43">
        <w:rPr>
          <w:rFonts w:ascii="Times New Roman" w:hAnsi="Times New Roman" w:cs="Times New Roman"/>
          <w:sz w:val="24"/>
          <w:szCs w:val="24"/>
        </w:rPr>
        <w:t>del mercado de los medicamentos, trat</w:t>
      </w:r>
      <w:r w:rsidR="00632DE4" w:rsidRPr="00C21F43">
        <w:rPr>
          <w:rFonts w:ascii="Times New Roman" w:hAnsi="Times New Roman" w:cs="Times New Roman"/>
          <w:sz w:val="24"/>
          <w:szCs w:val="24"/>
        </w:rPr>
        <w:t>ándose</w:t>
      </w:r>
      <w:r w:rsidRPr="00C21F43">
        <w:rPr>
          <w:rFonts w:ascii="Times New Roman" w:hAnsi="Times New Roman" w:cs="Times New Roman"/>
          <w:sz w:val="24"/>
          <w:szCs w:val="24"/>
        </w:rPr>
        <w:t xml:space="preserve"> de un bien de primera necesidad para la población. Así, en el Plan Nacional de Desarrollo</w:t>
      </w:r>
      <w:r w:rsidR="00632DE4" w:rsidRPr="00C21F43">
        <w:rPr>
          <w:rFonts w:ascii="Times New Roman" w:hAnsi="Times New Roman" w:cs="Times New Roman"/>
          <w:sz w:val="24"/>
          <w:szCs w:val="24"/>
        </w:rPr>
        <w:t xml:space="preserve"> y de Inversión Pública 2023-2026</w:t>
      </w:r>
      <w:r w:rsidR="00FB2D77" w:rsidRPr="00C21F43">
        <w:rPr>
          <w:rFonts w:ascii="Times New Roman" w:hAnsi="Times New Roman" w:cs="Times New Roman"/>
          <w:sz w:val="24"/>
          <w:szCs w:val="24"/>
        </w:rPr>
        <w:t>,</w:t>
      </w:r>
      <w:r w:rsidRPr="00C21F43">
        <w:rPr>
          <w:rFonts w:ascii="Times New Roman" w:hAnsi="Times New Roman" w:cs="Times New Roman"/>
          <w:sz w:val="24"/>
          <w:szCs w:val="24"/>
        </w:rPr>
        <w:t xml:space="preserve"> </w:t>
      </w:r>
      <w:r w:rsidR="00542474" w:rsidRPr="00C21F43">
        <w:rPr>
          <w:rFonts w:ascii="Times New Roman" w:hAnsi="Times New Roman" w:cs="Times New Roman"/>
          <w:sz w:val="24"/>
          <w:szCs w:val="24"/>
        </w:rPr>
        <w:t xml:space="preserve">se </w:t>
      </w:r>
      <w:r w:rsidR="00AD785E" w:rsidRPr="00C21F43">
        <w:rPr>
          <w:rFonts w:ascii="Times New Roman" w:hAnsi="Times New Roman" w:cs="Times New Roman"/>
          <w:sz w:val="24"/>
          <w:szCs w:val="24"/>
        </w:rPr>
        <w:t>dispu</w:t>
      </w:r>
      <w:r w:rsidR="00C21F43">
        <w:rPr>
          <w:rFonts w:ascii="Times New Roman" w:hAnsi="Times New Roman" w:cs="Times New Roman"/>
          <w:sz w:val="24"/>
          <w:szCs w:val="24"/>
        </w:rPr>
        <w:t>s</w:t>
      </w:r>
      <w:r w:rsidR="00AD785E" w:rsidRPr="00064117">
        <w:rPr>
          <w:rFonts w:ascii="Times New Roman" w:hAnsi="Times New Roman" w:cs="Times New Roman"/>
          <w:sz w:val="24"/>
          <w:szCs w:val="24"/>
        </w:rPr>
        <w:t>o</w:t>
      </w:r>
      <w:r w:rsidRPr="00064117">
        <w:rPr>
          <w:rFonts w:ascii="Times New Roman" w:hAnsi="Times New Roman" w:cs="Times New Roman"/>
          <w:sz w:val="24"/>
          <w:szCs w:val="24"/>
        </w:rPr>
        <w:t xml:space="preserve"> la implementación de medidas que aseguren la accesibilidad y asequibilidad de los medicamentos.</w:t>
      </w:r>
    </w:p>
    <w:p w14:paraId="514A37CF" w14:textId="77777777" w:rsidR="00632DE4" w:rsidRPr="00A661AE" w:rsidRDefault="00632DE4" w:rsidP="002518E4">
      <w:pPr>
        <w:spacing w:after="0" w:line="240" w:lineRule="auto"/>
        <w:jc w:val="both"/>
        <w:rPr>
          <w:rFonts w:ascii="Times New Roman" w:hAnsi="Times New Roman" w:cs="Times New Roman"/>
          <w:sz w:val="24"/>
          <w:szCs w:val="24"/>
        </w:rPr>
      </w:pPr>
    </w:p>
    <w:p w14:paraId="04345831" w14:textId="42F8C4C9" w:rsidR="00E62918" w:rsidRDefault="00EC1BAA" w:rsidP="00C21F43">
      <w:pPr>
        <w:pStyle w:val="Prrafodelista"/>
        <w:numPr>
          <w:ilvl w:val="0"/>
          <w:numId w:val="7"/>
        </w:numPr>
        <w:spacing w:after="0" w:line="240" w:lineRule="auto"/>
        <w:jc w:val="both"/>
        <w:rPr>
          <w:rFonts w:ascii="Times New Roman" w:hAnsi="Times New Roman" w:cs="Times New Roman"/>
          <w:sz w:val="24"/>
          <w:szCs w:val="24"/>
        </w:rPr>
      </w:pPr>
      <w:r w:rsidRPr="00C21F43">
        <w:rPr>
          <w:rFonts w:ascii="Times New Roman" w:hAnsi="Times New Roman" w:cs="Times New Roman"/>
          <w:sz w:val="24"/>
          <w:szCs w:val="24"/>
        </w:rPr>
        <w:t xml:space="preserve">Que, el Despacho Ministerial del Ministerio de Economía, Industria y Comercio, mediante el Oficio N° MEIC-DM-OF-245-2024 del </w:t>
      </w:r>
      <w:r w:rsidR="00E33F36" w:rsidRPr="00E33F36">
        <w:rPr>
          <w:rFonts w:ascii="Times New Roman" w:hAnsi="Times New Roman" w:cs="Times New Roman"/>
          <w:sz w:val="24"/>
          <w:szCs w:val="24"/>
        </w:rPr>
        <w:t>21 de junio de 2024</w:t>
      </w:r>
      <w:r w:rsidRPr="00C21F43">
        <w:rPr>
          <w:rFonts w:ascii="Times New Roman" w:hAnsi="Times New Roman" w:cs="Times New Roman"/>
          <w:sz w:val="24"/>
          <w:szCs w:val="24"/>
        </w:rPr>
        <w:t xml:space="preserve"> solicitó a la Dirección de Análisis Económico y Comercial (DAEC), investigar los márgenes brutos de comercialización en la cadena de valor de los medicamentos en Costa Rica.</w:t>
      </w:r>
    </w:p>
    <w:p w14:paraId="442EF5D9" w14:textId="77777777" w:rsidR="00D52F00" w:rsidRPr="00D52F00" w:rsidRDefault="00D52F00" w:rsidP="00D52F00">
      <w:pPr>
        <w:pStyle w:val="Prrafodelista"/>
        <w:rPr>
          <w:rFonts w:ascii="Times New Roman" w:hAnsi="Times New Roman" w:cs="Times New Roman"/>
          <w:sz w:val="24"/>
          <w:szCs w:val="24"/>
        </w:rPr>
      </w:pPr>
    </w:p>
    <w:p w14:paraId="65E246FC" w14:textId="520F5441" w:rsidR="008F7305" w:rsidRPr="008F7305" w:rsidRDefault="00D52F00" w:rsidP="00064117">
      <w:pPr>
        <w:pStyle w:val="Prrafodelista"/>
        <w:numPr>
          <w:ilvl w:val="0"/>
          <w:numId w:val="7"/>
        </w:numPr>
        <w:jc w:val="both"/>
        <w:rPr>
          <w:rFonts w:ascii="Times New Roman" w:hAnsi="Times New Roman" w:cs="Times New Roman"/>
          <w:sz w:val="24"/>
          <w:szCs w:val="24"/>
        </w:rPr>
      </w:pPr>
      <w:r w:rsidRPr="008F7305">
        <w:rPr>
          <w:rFonts w:ascii="Times New Roman" w:hAnsi="Times New Roman" w:cs="Times New Roman"/>
          <w:sz w:val="24"/>
          <w:szCs w:val="24"/>
        </w:rPr>
        <w:t>Que, mediante Informe DAEC-INF-001-2024</w:t>
      </w:r>
      <w:r w:rsidR="008F7305" w:rsidRPr="008F7305">
        <w:rPr>
          <w:rFonts w:ascii="Times New Roman" w:hAnsi="Times New Roman" w:cs="Times New Roman"/>
          <w:sz w:val="24"/>
          <w:szCs w:val="24"/>
        </w:rPr>
        <w:t xml:space="preserve">, </w:t>
      </w:r>
      <w:r w:rsidRPr="008F7305">
        <w:rPr>
          <w:rFonts w:ascii="Times New Roman" w:hAnsi="Times New Roman" w:cs="Times New Roman"/>
          <w:sz w:val="24"/>
          <w:szCs w:val="24"/>
        </w:rPr>
        <w:t>la DAEC, realiza un análisis</w:t>
      </w:r>
      <w:r w:rsidR="009113EA">
        <w:rPr>
          <w:rFonts w:ascii="Times New Roman" w:hAnsi="Times New Roman" w:cs="Times New Roman"/>
          <w:sz w:val="24"/>
          <w:szCs w:val="24"/>
        </w:rPr>
        <w:t xml:space="preserve"> de</w:t>
      </w:r>
      <w:r w:rsidRPr="008F7305">
        <w:rPr>
          <w:rFonts w:ascii="Times New Roman" w:hAnsi="Times New Roman" w:cs="Times New Roman"/>
          <w:sz w:val="24"/>
          <w:szCs w:val="24"/>
        </w:rPr>
        <w:t xml:space="preserve"> </w:t>
      </w:r>
      <w:r w:rsidR="009113EA" w:rsidRPr="009113EA">
        <w:rPr>
          <w:rFonts w:ascii="Times New Roman" w:hAnsi="Times New Roman" w:cs="Times New Roman"/>
          <w:sz w:val="24"/>
          <w:szCs w:val="24"/>
        </w:rPr>
        <w:t>los márgenes de comercialización en la cadena de valor de medicamentos en Costa Rica</w:t>
      </w:r>
      <w:r w:rsidRPr="008F7305">
        <w:rPr>
          <w:rFonts w:ascii="Times New Roman" w:hAnsi="Times New Roman" w:cs="Times New Roman"/>
          <w:sz w:val="24"/>
          <w:szCs w:val="24"/>
        </w:rPr>
        <w:t>, informe que incluye información proveniente de 47 países</w:t>
      </w:r>
      <w:r w:rsidR="008F7305" w:rsidRPr="008F7305">
        <w:rPr>
          <w:rFonts w:ascii="Times New Roman" w:hAnsi="Times New Roman" w:cs="Times New Roman"/>
          <w:sz w:val="24"/>
          <w:szCs w:val="24"/>
        </w:rPr>
        <w:t>, identificando que la mayoría</w:t>
      </w:r>
      <w:r w:rsidR="008F7305" w:rsidRPr="008F7305">
        <w:t xml:space="preserve"> </w:t>
      </w:r>
      <w:r w:rsidR="008F7305" w:rsidRPr="008F7305">
        <w:rPr>
          <w:rFonts w:ascii="Times New Roman" w:hAnsi="Times New Roman" w:cs="Times New Roman"/>
          <w:sz w:val="24"/>
          <w:szCs w:val="24"/>
        </w:rPr>
        <w:t>la mayoría realiza algún tipo de intervención en la comercialización de medicamentos</w:t>
      </w:r>
      <w:r w:rsidRPr="008F7305">
        <w:rPr>
          <w:rFonts w:ascii="Times New Roman" w:hAnsi="Times New Roman" w:cs="Times New Roman"/>
          <w:sz w:val="24"/>
          <w:szCs w:val="24"/>
        </w:rPr>
        <w:t>.</w:t>
      </w:r>
      <w:r w:rsidR="008F7305" w:rsidRPr="008F7305">
        <w:rPr>
          <w:rFonts w:ascii="Times New Roman" w:hAnsi="Times New Roman" w:cs="Times New Roman"/>
          <w:sz w:val="24"/>
          <w:szCs w:val="24"/>
        </w:rPr>
        <w:t xml:space="preserve"> De hecho</w:t>
      </w:r>
      <w:r w:rsidR="008F7305">
        <w:rPr>
          <w:rFonts w:ascii="Times New Roman" w:hAnsi="Times New Roman" w:cs="Times New Roman"/>
          <w:sz w:val="24"/>
          <w:szCs w:val="24"/>
        </w:rPr>
        <w:t>,</w:t>
      </w:r>
      <w:r w:rsidR="008F7305" w:rsidRPr="008F7305">
        <w:rPr>
          <w:rFonts w:ascii="Times New Roman" w:hAnsi="Times New Roman" w:cs="Times New Roman"/>
          <w:sz w:val="24"/>
          <w:szCs w:val="24"/>
        </w:rPr>
        <w:t xml:space="preserve"> la mayoría de los países de la Organización para la Cooperación y Desarrollo Económico (OCDE) emplean regulación de precios de medicamentos, ya sea directa o indirectamente.</w:t>
      </w:r>
    </w:p>
    <w:p w14:paraId="65352DE7" w14:textId="34CA1D12" w:rsidR="00D52F00" w:rsidRPr="00C21F43" w:rsidRDefault="00D52F00" w:rsidP="00064117">
      <w:pPr>
        <w:pStyle w:val="Prrafodelista"/>
        <w:spacing w:after="0" w:line="240" w:lineRule="auto"/>
        <w:jc w:val="both"/>
        <w:rPr>
          <w:rFonts w:ascii="Times New Roman" w:hAnsi="Times New Roman" w:cs="Times New Roman"/>
          <w:sz w:val="24"/>
          <w:szCs w:val="24"/>
        </w:rPr>
      </w:pPr>
    </w:p>
    <w:p w14:paraId="69717EA7" w14:textId="1A94753F" w:rsidR="002518E4" w:rsidRPr="00064117" w:rsidRDefault="009548D9" w:rsidP="00064117">
      <w:pPr>
        <w:pStyle w:val="Prrafodelista"/>
        <w:numPr>
          <w:ilvl w:val="0"/>
          <w:numId w:val="7"/>
        </w:numPr>
        <w:spacing w:after="0"/>
        <w:jc w:val="both"/>
        <w:rPr>
          <w:rFonts w:ascii="Times New Roman" w:hAnsi="Times New Roman" w:cs="Times New Roman"/>
          <w:sz w:val="24"/>
          <w:szCs w:val="24"/>
        </w:rPr>
      </w:pPr>
      <w:r w:rsidRPr="009548D9">
        <w:rPr>
          <w:rFonts w:ascii="Times New Roman" w:hAnsi="Times New Roman" w:cs="Times New Roman"/>
          <w:sz w:val="24"/>
          <w:szCs w:val="24"/>
        </w:rPr>
        <w:t>Que existe una preocupación por el alto precio de los medicamentos</w:t>
      </w:r>
      <w:r w:rsidR="009113EA">
        <w:rPr>
          <w:rFonts w:ascii="Times New Roman" w:hAnsi="Times New Roman" w:cs="Times New Roman"/>
          <w:sz w:val="24"/>
          <w:szCs w:val="24"/>
        </w:rPr>
        <w:t xml:space="preserve"> la</w:t>
      </w:r>
      <w:r w:rsidRPr="009548D9">
        <w:rPr>
          <w:rFonts w:ascii="Times New Roman" w:hAnsi="Times New Roman" w:cs="Times New Roman"/>
          <w:sz w:val="24"/>
          <w:szCs w:val="24"/>
        </w:rPr>
        <w:t xml:space="preserve"> cual limita su acceso por parte de la población</w:t>
      </w:r>
      <w:r>
        <w:rPr>
          <w:rFonts w:ascii="Times New Roman" w:hAnsi="Times New Roman" w:cs="Times New Roman"/>
          <w:sz w:val="24"/>
          <w:szCs w:val="24"/>
        </w:rPr>
        <w:t xml:space="preserve">. </w:t>
      </w:r>
      <w:r w:rsidR="009113EA">
        <w:rPr>
          <w:rFonts w:ascii="Times New Roman" w:hAnsi="Times New Roman" w:cs="Times New Roman"/>
          <w:sz w:val="24"/>
          <w:szCs w:val="24"/>
        </w:rPr>
        <w:t>En ese sentido</w:t>
      </w:r>
      <w:r w:rsidR="00B3192E">
        <w:rPr>
          <w:rFonts w:ascii="Times New Roman" w:hAnsi="Times New Roman" w:cs="Times New Roman"/>
          <w:sz w:val="24"/>
          <w:szCs w:val="24"/>
        </w:rPr>
        <w:t>, e</w:t>
      </w:r>
      <w:r>
        <w:rPr>
          <w:rFonts w:ascii="Times New Roman" w:hAnsi="Times New Roman" w:cs="Times New Roman"/>
          <w:sz w:val="24"/>
          <w:szCs w:val="24"/>
        </w:rPr>
        <w:t xml:space="preserve">l </w:t>
      </w:r>
      <w:r w:rsidR="00E62918" w:rsidRPr="00064117">
        <w:rPr>
          <w:rFonts w:ascii="Times New Roman" w:hAnsi="Times New Roman" w:cs="Times New Roman"/>
          <w:sz w:val="24"/>
          <w:szCs w:val="24"/>
        </w:rPr>
        <w:t>incremento en la porción del gasto que dedican los hogares para tener acceso a los servicios de salud incluyendo los medicamentos, se convierte en un problema relevante para la sostenibilidad financiera de las familias, ya que tienen que sacrificar el consumo básico por la compra de medicamentos.</w:t>
      </w:r>
      <w:r w:rsidRPr="00064117">
        <w:rPr>
          <w:rFonts w:ascii="Times New Roman" w:hAnsi="Times New Roman" w:cs="Times New Roman"/>
          <w:sz w:val="24"/>
          <w:szCs w:val="24"/>
        </w:rPr>
        <w:t xml:space="preserve"> </w:t>
      </w:r>
      <w:r w:rsidR="002518E4" w:rsidRPr="00064117">
        <w:rPr>
          <w:rFonts w:ascii="Times New Roman" w:hAnsi="Times New Roman" w:cs="Times New Roman"/>
          <w:sz w:val="24"/>
          <w:szCs w:val="24"/>
        </w:rPr>
        <w:t>Según el informe Cuentas de Salud de Costa Rica, 2017-2019</w:t>
      </w:r>
      <w:r w:rsidR="009113EA">
        <w:rPr>
          <w:rFonts w:ascii="Times New Roman" w:hAnsi="Times New Roman" w:cs="Times New Roman"/>
          <w:sz w:val="24"/>
          <w:szCs w:val="24"/>
        </w:rPr>
        <w:t xml:space="preserve"> se indica</w:t>
      </w:r>
      <w:r w:rsidR="002518E4" w:rsidRPr="00064117">
        <w:rPr>
          <w:rFonts w:ascii="Times New Roman" w:hAnsi="Times New Roman" w:cs="Times New Roman"/>
          <w:sz w:val="24"/>
          <w:szCs w:val="24"/>
        </w:rPr>
        <w:t>:</w:t>
      </w:r>
    </w:p>
    <w:p w14:paraId="33DA5A9F" w14:textId="77F6DDF7" w:rsidR="00E62918" w:rsidRDefault="00E62918" w:rsidP="002518E4">
      <w:pPr>
        <w:spacing w:after="0" w:line="240" w:lineRule="auto"/>
        <w:jc w:val="both"/>
        <w:rPr>
          <w:rFonts w:ascii="Times New Roman" w:hAnsi="Times New Roman" w:cs="Times New Roman"/>
          <w:sz w:val="24"/>
          <w:szCs w:val="24"/>
          <w:lang w:val="es-ES_tradnl"/>
        </w:rPr>
      </w:pPr>
    </w:p>
    <w:p w14:paraId="777DC5D7" w14:textId="33C9B5DA" w:rsidR="00E62918" w:rsidRPr="00A661AE" w:rsidRDefault="00E62918" w:rsidP="009113EA">
      <w:pPr>
        <w:spacing w:after="0" w:line="240" w:lineRule="auto"/>
        <w:ind w:left="680" w:right="49"/>
        <w:jc w:val="both"/>
        <w:rPr>
          <w:rFonts w:ascii="Times New Roman" w:hAnsi="Times New Roman" w:cs="Times New Roman"/>
          <w:sz w:val="24"/>
          <w:szCs w:val="24"/>
          <w:lang w:val="es-ES_tradnl"/>
        </w:rPr>
      </w:pPr>
      <w:r w:rsidRPr="00A661AE">
        <w:rPr>
          <w:rFonts w:ascii="Times New Roman" w:hAnsi="Times New Roman" w:cs="Times New Roman"/>
          <w:i/>
          <w:iCs/>
          <w:sz w:val="24"/>
          <w:szCs w:val="24"/>
          <w:lang w:val="es-ES_tradnl"/>
        </w:rPr>
        <w:t>“(…) Durante el periodo 2017-2019, el gasto en medicamentos aumentó de CRC 317.3 mil millones a poco más de CRC 400 mil millones, equivalente al 14.8% del gasto corriente de 2019. Además, este gasto creció 27.4%, una tasa que supera al crecimiento del gasto corriente en salud en general (de 7%) y al gasto de bolsillo de los hogares (14.5%)” (</w:t>
      </w:r>
      <w:r w:rsidRPr="00A661AE">
        <w:rPr>
          <w:rFonts w:ascii="Times New Roman" w:hAnsi="Times New Roman" w:cs="Times New Roman"/>
          <w:sz w:val="24"/>
          <w:szCs w:val="24"/>
        </w:rPr>
        <w:t xml:space="preserve">Ministerio de Salud, 2022. Informe de cuentas de salud de Costa Rica, 2017-2019. Disponible en: </w:t>
      </w:r>
      <w:hyperlink r:id="rId8" w:history="1">
        <w:r w:rsidRPr="00A661AE">
          <w:rPr>
            <w:rStyle w:val="Hipervnculo"/>
            <w:rFonts w:ascii="Times New Roman" w:hAnsi="Times New Roman" w:cs="Times New Roman"/>
            <w:sz w:val="24"/>
            <w:szCs w:val="24"/>
          </w:rPr>
          <w:t>https://www.ministeriodesalud.go.cr/index.php/biblioteca/material-educativo/material-publicado/indicadores-en-salud/indicadores-de-proteccion-financiera-en-salud/6054-informe-de-cuentas-de-salud-de-costa-rica-2017-2019/file</w:t>
        </w:r>
      </w:hyperlink>
      <w:r w:rsidRPr="00A661AE">
        <w:rPr>
          <w:rFonts w:ascii="Times New Roman" w:hAnsi="Times New Roman" w:cs="Times New Roman"/>
          <w:sz w:val="24"/>
          <w:szCs w:val="24"/>
        </w:rPr>
        <w:t>. Consultado el 03/08/24)</w:t>
      </w:r>
    </w:p>
    <w:p w14:paraId="5422EB5F" w14:textId="77777777" w:rsidR="00475DD7" w:rsidRDefault="00475DD7" w:rsidP="00475DD7">
      <w:pPr>
        <w:spacing w:after="0" w:line="240" w:lineRule="auto"/>
        <w:jc w:val="both"/>
        <w:rPr>
          <w:rFonts w:ascii="Times New Roman" w:hAnsi="Times New Roman" w:cs="Times New Roman"/>
          <w:sz w:val="24"/>
          <w:szCs w:val="24"/>
        </w:rPr>
      </w:pPr>
    </w:p>
    <w:p w14:paraId="0772210B" w14:textId="2A7BA821" w:rsidR="00064117" w:rsidRDefault="00475DD7" w:rsidP="00064117">
      <w:pPr>
        <w:pStyle w:val="Prrafodelist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Que, </w:t>
      </w:r>
      <w:r w:rsidRPr="00A661AE">
        <w:rPr>
          <w:rFonts w:ascii="Times New Roman" w:hAnsi="Times New Roman" w:cs="Times New Roman"/>
          <w:sz w:val="24"/>
          <w:szCs w:val="24"/>
        </w:rPr>
        <w:t>se desprende con meridiana claridad del referido Informe</w:t>
      </w:r>
      <w:r w:rsidR="009113EA">
        <w:rPr>
          <w:rFonts w:ascii="Times New Roman" w:hAnsi="Times New Roman" w:cs="Times New Roman"/>
          <w:sz w:val="24"/>
          <w:szCs w:val="24"/>
        </w:rPr>
        <w:t xml:space="preserve"> de la DAEC:</w:t>
      </w:r>
      <w:r w:rsidRPr="00A661AE">
        <w:rPr>
          <w:rFonts w:ascii="Times New Roman" w:hAnsi="Times New Roman" w:cs="Times New Roman"/>
          <w:sz w:val="24"/>
          <w:szCs w:val="24"/>
        </w:rPr>
        <w:t xml:space="preserve"> “</w:t>
      </w:r>
      <w:r w:rsidRPr="00064117">
        <w:rPr>
          <w:rFonts w:ascii="Times New Roman" w:hAnsi="Times New Roman" w:cs="Times New Roman"/>
          <w:i/>
          <w:iCs/>
          <w:sz w:val="24"/>
          <w:szCs w:val="24"/>
        </w:rPr>
        <w:t>Por otra parte, es importante resaltar que, a nivel nacional, el gasto de bolsillo está levemente por encima de lo recomendado por la OMS, organismo que declaró que, para poder alcanzar la salud universal, los gastos de bolsillo no deben exceder 20% del gasto corriente en salud (CHE, por sus siglas en inglés)</w:t>
      </w:r>
      <w:r w:rsidRPr="00064117">
        <w:rPr>
          <w:rFonts w:ascii="Times New Roman" w:hAnsi="Times New Roman" w:cs="Times New Roman"/>
          <w:sz w:val="24"/>
          <w:szCs w:val="24"/>
        </w:rPr>
        <w:t>”. (</w:t>
      </w:r>
      <w:r w:rsidRPr="00A661AE">
        <w:rPr>
          <w:rFonts w:ascii="Times New Roman" w:hAnsi="Times New Roman" w:cs="Times New Roman"/>
          <w:sz w:val="24"/>
          <w:szCs w:val="24"/>
        </w:rPr>
        <w:t xml:space="preserve">Organización Mundial de la Salud. Informe sobre la salud en el mundo 2010. Resumen ejecutivo. Ginebra: OMS; 2010:98. Disponible en: </w:t>
      </w:r>
      <w:hyperlink r:id="rId9" w:history="1">
        <w:r w:rsidR="00F10EA0" w:rsidRPr="00F435BE">
          <w:rPr>
            <w:rStyle w:val="Hipervnculo"/>
            <w:rFonts w:ascii="Times New Roman" w:hAnsi="Times New Roman" w:cs="Times New Roman"/>
            <w:sz w:val="24"/>
            <w:szCs w:val="24"/>
          </w:rPr>
          <w:t>https://www.paho.org/es/noticias/30-11-2010-informe-sobre-saludmundo-2010. Consultado el 03/08/24</w:t>
        </w:r>
      </w:hyperlink>
      <w:r w:rsidRPr="00A661AE">
        <w:rPr>
          <w:rFonts w:ascii="Times New Roman" w:hAnsi="Times New Roman" w:cs="Times New Roman"/>
          <w:sz w:val="24"/>
          <w:szCs w:val="24"/>
        </w:rPr>
        <w:t>)</w:t>
      </w:r>
      <w:r w:rsidRPr="00064117">
        <w:rPr>
          <w:rFonts w:ascii="Times New Roman" w:hAnsi="Times New Roman" w:cs="Times New Roman"/>
          <w:sz w:val="24"/>
          <w:szCs w:val="24"/>
        </w:rPr>
        <w:t>.</w:t>
      </w:r>
    </w:p>
    <w:p w14:paraId="77279E58" w14:textId="77777777" w:rsidR="00F10EA0" w:rsidRDefault="00F10EA0" w:rsidP="00350125">
      <w:pPr>
        <w:pStyle w:val="Prrafodelista"/>
        <w:spacing w:after="0"/>
        <w:jc w:val="both"/>
        <w:rPr>
          <w:rFonts w:ascii="Times New Roman" w:hAnsi="Times New Roman" w:cs="Times New Roman"/>
          <w:sz w:val="24"/>
          <w:szCs w:val="24"/>
        </w:rPr>
      </w:pPr>
    </w:p>
    <w:p w14:paraId="3E19D50C" w14:textId="06C67E27" w:rsidR="00EC3D2D" w:rsidRPr="00E874D6" w:rsidRDefault="00035C6D" w:rsidP="00E874D6">
      <w:pPr>
        <w:pStyle w:val="Prrafodelista"/>
        <w:numPr>
          <w:ilvl w:val="0"/>
          <w:numId w:val="7"/>
        </w:numPr>
        <w:spacing w:after="0" w:line="240" w:lineRule="auto"/>
        <w:jc w:val="both"/>
        <w:rPr>
          <w:rFonts w:ascii="Times New Roman" w:hAnsi="Times New Roman" w:cs="Times New Roman"/>
          <w:sz w:val="24"/>
          <w:szCs w:val="24"/>
          <w:lang w:val="es-ES_tradnl"/>
        </w:rPr>
      </w:pPr>
      <w:r w:rsidRPr="00E874D6">
        <w:rPr>
          <w:rFonts w:ascii="Times New Roman" w:hAnsi="Times New Roman" w:cs="Times New Roman"/>
          <w:sz w:val="24"/>
          <w:szCs w:val="24"/>
          <w:lang w:val="es-ES_tradnl"/>
        </w:rPr>
        <w:t xml:space="preserve">Que, en Costa Rica, </w:t>
      </w:r>
      <w:r w:rsidR="00E3208A" w:rsidRPr="00E874D6">
        <w:rPr>
          <w:rFonts w:ascii="Times New Roman" w:hAnsi="Times New Roman" w:cs="Times New Roman"/>
          <w:sz w:val="24"/>
          <w:szCs w:val="24"/>
          <w:lang w:val="es-ES_tradnl"/>
        </w:rPr>
        <w:t>la comercialización de medicamentos se realiza por distintos agentes económicos</w:t>
      </w:r>
      <w:r w:rsidR="00EC3D2D" w:rsidRPr="00E874D6">
        <w:rPr>
          <w:rFonts w:ascii="Times New Roman" w:hAnsi="Times New Roman" w:cs="Times New Roman"/>
          <w:sz w:val="24"/>
          <w:szCs w:val="24"/>
          <w:lang w:val="es-ES_tradnl"/>
        </w:rPr>
        <w:t xml:space="preserve"> a lo largo de una cadena</w:t>
      </w:r>
      <w:r w:rsidR="00E3208A" w:rsidRPr="00E874D6">
        <w:rPr>
          <w:rFonts w:ascii="Times New Roman" w:hAnsi="Times New Roman" w:cs="Times New Roman"/>
          <w:sz w:val="24"/>
          <w:szCs w:val="24"/>
          <w:lang w:val="es-ES_tradnl"/>
        </w:rPr>
        <w:t>, cuyas interrelaciones conforman distintos mercados. En dicha cadena</w:t>
      </w:r>
      <w:r w:rsidR="00EC3D2D" w:rsidRPr="00E874D6">
        <w:rPr>
          <w:rFonts w:ascii="Times New Roman" w:hAnsi="Times New Roman" w:cs="Times New Roman"/>
          <w:sz w:val="24"/>
          <w:szCs w:val="24"/>
          <w:lang w:val="es-ES_tradnl"/>
        </w:rPr>
        <w:t>,</w:t>
      </w:r>
      <w:r w:rsidR="00E3208A" w:rsidRPr="00E874D6">
        <w:rPr>
          <w:rFonts w:ascii="Times New Roman" w:hAnsi="Times New Roman" w:cs="Times New Roman"/>
          <w:sz w:val="24"/>
          <w:szCs w:val="24"/>
          <w:lang w:val="es-ES_tradnl"/>
        </w:rPr>
        <w:t xml:space="preserve"> los laboratorios producen los medicamentos, los cuales </w:t>
      </w:r>
      <w:r w:rsidR="00EC3D2D" w:rsidRPr="00E874D6">
        <w:rPr>
          <w:rFonts w:ascii="Times New Roman" w:hAnsi="Times New Roman" w:cs="Times New Roman"/>
          <w:sz w:val="24"/>
          <w:szCs w:val="24"/>
          <w:lang w:val="es-ES_tradnl"/>
        </w:rPr>
        <w:t xml:space="preserve">son vendidos a </w:t>
      </w:r>
      <w:r w:rsidR="00E3208A" w:rsidRPr="00E874D6">
        <w:rPr>
          <w:rFonts w:ascii="Times New Roman" w:hAnsi="Times New Roman" w:cs="Times New Roman"/>
          <w:sz w:val="24"/>
          <w:szCs w:val="24"/>
          <w:lang w:val="es-ES_tradnl"/>
        </w:rPr>
        <w:t>l</w:t>
      </w:r>
      <w:r w:rsidR="00EC3D2D" w:rsidRPr="00E874D6">
        <w:rPr>
          <w:rFonts w:ascii="Times New Roman" w:hAnsi="Times New Roman" w:cs="Times New Roman"/>
          <w:sz w:val="24"/>
          <w:szCs w:val="24"/>
          <w:lang w:val="es-ES_tradnl"/>
        </w:rPr>
        <w:t xml:space="preserve">os mayoristas (droguerías), quienes a su vez </w:t>
      </w:r>
      <w:proofErr w:type="gramStart"/>
      <w:r w:rsidR="00A56640" w:rsidRPr="00E874D6">
        <w:rPr>
          <w:rFonts w:ascii="Times New Roman" w:hAnsi="Times New Roman" w:cs="Times New Roman"/>
          <w:sz w:val="24"/>
          <w:szCs w:val="24"/>
          <w:lang w:val="es-ES_tradnl"/>
        </w:rPr>
        <w:t>le</w:t>
      </w:r>
      <w:proofErr w:type="gramEnd"/>
      <w:r w:rsidR="00A56640" w:rsidRPr="00E874D6">
        <w:rPr>
          <w:rFonts w:ascii="Times New Roman" w:hAnsi="Times New Roman" w:cs="Times New Roman"/>
          <w:sz w:val="24"/>
          <w:szCs w:val="24"/>
          <w:lang w:val="es-ES_tradnl"/>
        </w:rPr>
        <w:t xml:space="preserve"> venden </w:t>
      </w:r>
      <w:r w:rsidR="00E3208A" w:rsidRPr="00E874D6">
        <w:rPr>
          <w:rFonts w:ascii="Times New Roman" w:hAnsi="Times New Roman" w:cs="Times New Roman"/>
          <w:sz w:val="24"/>
          <w:szCs w:val="24"/>
          <w:lang w:val="es-ES_tradnl"/>
        </w:rPr>
        <w:t xml:space="preserve">a </w:t>
      </w:r>
      <w:r w:rsidR="00EC3D2D" w:rsidRPr="00E874D6">
        <w:rPr>
          <w:rFonts w:ascii="Times New Roman" w:hAnsi="Times New Roman" w:cs="Times New Roman"/>
          <w:sz w:val="24"/>
          <w:szCs w:val="24"/>
          <w:lang w:val="es-ES_tradnl"/>
        </w:rPr>
        <w:t>los minoristas (</w:t>
      </w:r>
      <w:r w:rsidR="00E3208A" w:rsidRPr="00E874D6">
        <w:rPr>
          <w:rFonts w:ascii="Times New Roman" w:hAnsi="Times New Roman" w:cs="Times New Roman"/>
          <w:sz w:val="24"/>
          <w:szCs w:val="24"/>
          <w:lang w:val="es-ES_tradnl"/>
        </w:rPr>
        <w:t xml:space="preserve">farmacias </w:t>
      </w:r>
      <w:r w:rsidR="00EC3D2D" w:rsidRPr="00E874D6">
        <w:rPr>
          <w:rFonts w:ascii="Times New Roman" w:hAnsi="Times New Roman" w:cs="Times New Roman"/>
          <w:sz w:val="24"/>
          <w:szCs w:val="24"/>
          <w:lang w:val="es-ES_tradnl"/>
        </w:rPr>
        <w:t xml:space="preserve">y distintos </w:t>
      </w:r>
      <w:r w:rsidR="00E3208A" w:rsidRPr="00E874D6">
        <w:rPr>
          <w:rFonts w:ascii="Times New Roman" w:hAnsi="Times New Roman" w:cs="Times New Roman"/>
          <w:sz w:val="24"/>
          <w:szCs w:val="24"/>
          <w:lang w:val="es-ES_tradnl"/>
        </w:rPr>
        <w:t>establecimientos comerciales</w:t>
      </w:r>
      <w:r w:rsidR="00EC3D2D" w:rsidRPr="00E874D6">
        <w:rPr>
          <w:rFonts w:ascii="Times New Roman" w:hAnsi="Times New Roman" w:cs="Times New Roman"/>
          <w:sz w:val="24"/>
          <w:szCs w:val="24"/>
          <w:lang w:val="es-ES_tradnl"/>
        </w:rPr>
        <w:t xml:space="preserve"> de venta al detalle)</w:t>
      </w:r>
      <w:r w:rsidR="00E3208A" w:rsidRPr="00E874D6">
        <w:rPr>
          <w:rFonts w:ascii="Times New Roman" w:hAnsi="Times New Roman" w:cs="Times New Roman"/>
          <w:sz w:val="24"/>
          <w:szCs w:val="24"/>
          <w:lang w:val="es-ES_tradnl"/>
        </w:rPr>
        <w:t xml:space="preserve">, para que finalmente </w:t>
      </w:r>
      <w:r w:rsidR="00EC3D2D" w:rsidRPr="00E874D6">
        <w:rPr>
          <w:rFonts w:ascii="Times New Roman" w:hAnsi="Times New Roman" w:cs="Times New Roman"/>
          <w:sz w:val="24"/>
          <w:szCs w:val="24"/>
          <w:lang w:val="es-ES_tradnl"/>
        </w:rPr>
        <w:t xml:space="preserve">estos </w:t>
      </w:r>
      <w:r w:rsidR="00E3208A" w:rsidRPr="00E874D6">
        <w:rPr>
          <w:rFonts w:ascii="Times New Roman" w:hAnsi="Times New Roman" w:cs="Times New Roman"/>
          <w:sz w:val="24"/>
          <w:szCs w:val="24"/>
          <w:lang w:val="es-ES_tradnl"/>
        </w:rPr>
        <w:t xml:space="preserve">comercialicen los medicamentos a los pacientes. </w:t>
      </w:r>
    </w:p>
    <w:p w14:paraId="22D485E3" w14:textId="77777777" w:rsidR="00E3208A" w:rsidRPr="00E874D6" w:rsidRDefault="00E3208A" w:rsidP="00E3208A">
      <w:pPr>
        <w:spacing w:after="0" w:line="240" w:lineRule="auto"/>
        <w:jc w:val="both"/>
        <w:rPr>
          <w:rFonts w:ascii="Times New Roman" w:hAnsi="Times New Roman" w:cs="Times New Roman"/>
          <w:sz w:val="24"/>
          <w:szCs w:val="24"/>
          <w:lang w:val="es-ES_tradnl"/>
        </w:rPr>
      </w:pPr>
    </w:p>
    <w:p w14:paraId="23C7C5EA" w14:textId="026DCF8A" w:rsidR="006D3D73" w:rsidRPr="00064117" w:rsidRDefault="009548D9" w:rsidP="00064117">
      <w:pPr>
        <w:pStyle w:val="Prrafodelista"/>
        <w:numPr>
          <w:ilvl w:val="0"/>
          <w:numId w:val="7"/>
        </w:numPr>
        <w:spacing w:after="0" w:line="240" w:lineRule="auto"/>
        <w:jc w:val="both"/>
        <w:rPr>
          <w:rFonts w:ascii="Times New Roman" w:hAnsi="Times New Roman" w:cs="Times New Roman"/>
          <w:sz w:val="24"/>
          <w:szCs w:val="24"/>
        </w:rPr>
      </w:pPr>
      <w:r w:rsidRPr="00F10EA0">
        <w:rPr>
          <w:rFonts w:ascii="Times New Roman" w:hAnsi="Times New Roman" w:cs="Times New Roman"/>
          <w:sz w:val="24"/>
          <w:szCs w:val="24"/>
        </w:rPr>
        <w:t>Que</w:t>
      </w:r>
      <w:r w:rsidR="00F10EA0">
        <w:rPr>
          <w:rFonts w:ascii="Times New Roman" w:hAnsi="Times New Roman" w:cs="Times New Roman"/>
          <w:sz w:val="24"/>
          <w:szCs w:val="24"/>
        </w:rPr>
        <w:t>,</w:t>
      </w:r>
      <w:r w:rsidRPr="00F10EA0">
        <w:rPr>
          <w:rFonts w:ascii="Times New Roman" w:hAnsi="Times New Roman" w:cs="Times New Roman"/>
          <w:sz w:val="24"/>
          <w:szCs w:val="24"/>
        </w:rPr>
        <w:t xml:space="preserve"> el estudio de referencia a partir del análisis de los márgenes brutos de comercialización de la cadena de valor de medicamentos en Costa Rica, mediante una comparación internacional</w:t>
      </w:r>
      <w:r w:rsidR="00C63DCB" w:rsidRPr="00F10EA0">
        <w:rPr>
          <w:rFonts w:ascii="Times New Roman" w:hAnsi="Times New Roman" w:cs="Times New Roman"/>
          <w:sz w:val="24"/>
          <w:szCs w:val="24"/>
        </w:rPr>
        <w:t xml:space="preserve"> con 47 países</w:t>
      </w:r>
      <w:r w:rsidRPr="00F10EA0">
        <w:rPr>
          <w:rFonts w:ascii="Times New Roman" w:hAnsi="Times New Roman" w:cs="Times New Roman"/>
          <w:sz w:val="24"/>
          <w:szCs w:val="24"/>
        </w:rPr>
        <w:t xml:space="preserve">, </w:t>
      </w:r>
      <w:r w:rsidR="006D3D73" w:rsidRPr="00F10EA0">
        <w:rPr>
          <w:rFonts w:ascii="Times New Roman" w:hAnsi="Times New Roman" w:cs="Times New Roman"/>
          <w:sz w:val="24"/>
          <w:szCs w:val="24"/>
        </w:rPr>
        <w:t>técnica en su mayoría empleada para la regulación de precios de medicamentos</w:t>
      </w:r>
      <w:r w:rsidR="00475DD7" w:rsidRPr="00F10EA0">
        <w:rPr>
          <w:rFonts w:ascii="Times New Roman" w:hAnsi="Times New Roman" w:cs="Times New Roman"/>
          <w:sz w:val="24"/>
          <w:szCs w:val="24"/>
        </w:rPr>
        <w:t xml:space="preserve"> a nivel internacional</w:t>
      </w:r>
      <w:r w:rsidR="006D3D73" w:rsidRPr="00F10EA0">
        <w:rPr>
          <w:rFonts w:ascii="Times New Roman" w:hAnsi="Times New Roman" w:cs="Times New Roman"/>
          <w:sz w:val="24"/>
          <w:szCs w:val="24"/>
        </w:rPr>
        <w:t xml:space="preserve">, </w:t>
      </w:r>
      <w:r w:rsidR="00E61055" w:rsidRPr="00F10EA0">
        <w:rPr>
          <w:rFonts w:ascii="Times New Roman" w:hAnsi="Times New Roman" w:cs="Times New Roman"/>
          <w:sz w:val="24"/>
          <w:szCs w:val="24"/>
        </w:rPr>
        <w:t>realiza una comparación</w:t>
      </w:r>
      <w:r w:rsidR="006D3D73" w:rsidRPr="00F10EA0">
        <w:rPr>
          <w:rFonts w:ascii="Times New Roman" w:hAnsi="Times New Roman" w:cs="Times New Roman"/>
          <w:sz w:val="24"/>
          <w:szCs w:val="24"/>
        </w:rPr>
        <w:t xml:space="preserve"> ent</w:t>
      </w:r>
      <w:r w:rsidR="006D3D73" w:rsidRPr="00064117">
        <w:rPr>
          <w:rFonts w:ascii="Times New Roman" w:hAnsi="Times New Roman" w:cs="Times New Roman"/>
          <w:sz w:val="24"/>
          <w:szCs w:val="24"/>
        </w:rPr>
        <w:t>re los márgenes brutos de comercialización de Costa Rica a los niveles de droguería y farmacia, versus los márgenes de países que regulan la comercialización de medicamentos ya sea de manera directa o indirect</w:t>
      </w:r>
      <w:r w:rsidR="00C63DCB" w:rsidRPr="00064117">
        <w:rPr>
          <w:rFonts w:ascii="Times New Roman" w:hAnsi="Times New Roman" w:cs="Times New Roman"/>
          <w:sz w:val="24"/>
          <w:szCs w:val="24"/>
        </w:rPr>
        <w:t>a</w:t>
      </w:r>
      <w:r w:rsidR="006D3D73" w:rsidRPr="00064117">
        <w:rPr>
          <w:rFonts w:ascii="Times New Roman" w:hAnsi="Times New Roman" w:cs="Times New Roman"/>
          <w:sz w:val="24"/>
          <w:szCs w:val="24"/>
        </w:rPr>
        <w:t>.</w:t>
      </w:r>
      <w:r w:rsidR="00C63DCB" w:rsidRPr="00C63DCB">
        <w:t xml:space="preserve"> </w:t>
      </w:r>
    </w:p>
    <w:p w14:paraId="46F27D6F" w14:textId="671270EC" w:rsidR="008C2CA1" w:rsidRPr="00A661AE" w:rsidRDefault="008C2CA1" w:rsidP="002518E4">
      <w:pPr>
        <w:spacing w:after="0" w:line="240" w:lineRule="auto"/>
        <w:jc w:val="both"/>
        <w:rPr>
          <w:rFonts w:ascii="Times New Roman" w:hAnsi="Times New Roman" w:cs="Times New Roman"/>
          <w:sz w:val="24"/>
          <w:szCs w:val="24"/>
        </w:rPr>
      </w:pPr>
    </w:p>
    <w:p w14:paraId="4FB868BB" w14:textId="49BFA2C5" w:rsidR="002518E4" w:rsidRPr="00064117" w:rsidRDefault="0014495C" w:rsidP="00064117">
      <w:pPr>
        <w:pStyle w:val="Prrafodelista"/>
        <w:numPr>
          <w:ilvl w:val="0"/>
          <w:numId w:val="7"/>
        </w:numPr>
        <w:spacing w:after="0" w:line="240" w:lineRule="auto"/>
        <w:jc w:val="both"/>
        <w:rPr>
          <w:rFonts w:ascii="Times New Roman" w:hAnsi="Times New Roman" w:cs="Times New Roman"/>
          <w:sz w:val="24"/>
          <w:szCs w:val="24"/>
          <w:lang w:val="es-MX"/>
        </w:rPr>
      </w:pPr>
      <w:r w:rsidRPr="00064117">
        <w:rPr>
          <w:rFonts w:ascii="Times New Roman" w:hAnsi="Times New Roman" w:cs="Times New Roman"/>
          <w:sz w:val="24"/>
          <w:szCs w:val="24"/>
        </w:rPr>
        <w:t>Que</w:t>
      </w:r>
      <w:r w:rsidR="00A661AE" w:rsidRPr="00064117">
        <w:rPr>
          <w:rFonts w:ascii="Times New Roman" w:hAnsi="Times New Roman" w:cs="Times New Roman"/>
          <w:sz w:val="24"/>
          <w:szCs w:val="24"/>
        </w:rPr>
        <w:t>,</w:t>
      </w:r>
      <w:r w:rsidRPr="00064117">
        <w:rPr>
          <w:rFonts w:ascii="Times New Roman" w:hAnsi="Times New Roman" w:cs="Times New Roman"/>
          <w:sz w:val="24"/>
          <w:szCs w:val="24"/>
        </w:rPr>
        <w:t xml:space="preserve"> a manera de </w:t>
      </w:r>
      <w:r w:rsidR="00A82459" w:rsidRPr="00064117">
        <w:rPr>
          <w:rFonts w:ascii="Times New Roman" w:hAnsi="Times New Roman" w:cs="Times New Roman"/>
          <w:sz w:val="24"/>
          <w:szCs w:val="24"/>
        </w:rPr>
        <w:t xml:space="preserve">hallazgo </w:t>
      </w:r>
      <w:r w:rsidRPr="00064117">
        <w:rPr>
          <w:rFonts w:ascii="Times New Roman" w:hAnsi="Times New Roman" w:cs="Times New Roman"/>
          <w:sz w:val="24"/>
          <w:szCs w:val="24"/>
        </w:rPr>
        <w:t xml:space="preserve">se indica en el informe supra </w:t>
      </w:r>
      <w:r w:rsidRPr="00064117">
        <w:rPr>
          <w:rFonts w:ascii="Times New Roman" w:hAnsi="Times New Roman" w:cs="Times New Roman"/>
          <w:sz w:val="24"/>
          <w:szCs w:val="24"/>
          <w:lang w:val="es-MX"/>
        </w:rPr>
        <w:t>que, con la información disponible, los márgenes brutos de comercialización para Costa Rica en los niveles de mayorista y minorista y para la mayoría de Grupos Terapéuticos seleccionados, son considerablemente superiores al resto de países, independientemente de su ingreso, política regulatoria y pertenencia a la OCDE, situación que resulta atípica.</w:t>
      </w:r>
      <w:r w:rsidR="00D52F00" w:rsidRPr="00064117">
        <w:rPr>
          <w:rFonts w:ascii="Times New Roman" w:hAnsi="Times New Roman" w:cs="Times New Roman"/>
          <w:sz w:val="24"/>
          <w:szCs w:val="24"/>
          <w:lang w:val="es-MX"/>
        </w:rPr>
        <w:t xml:space="preserve"> La diferencia del margen promedio para Costa Rica a nivel mayorista es de 74,4 </w:t>
      </w:r>
      <w:proofErr w:type="spellStart"/>
      <w:r w:rsidR="00D52F00" w:rsidRPr="00064117">
        <w:rPr>
          <w:rFonts w:ascii="Times New Roman" w:hAnsi="Times New Roman" w:cs="Times New Roman"/>
          <w:sz w:val="24"/>
          <w:szCs w:val="24"/>
          <w:lang w:val="es-MX"/>
        </w:rPr>
        <w:t>p.p</w:t>
      </w:r>
      <w:proofErr w:type="spellEnd"/>
      <w:r w:rsidR="00D52F00" w:rsidRPr="00064117">
        <w:rPr>
          <w:rFonts w:ascii="Times New Roman" w:hAnsi="Times New Roman" w:cs="Times New Roman"/>
          <w:sz w:val="24"/>
          <w:szCs w:val="24"/>
          <w:lang w:val="es-MX"/>
        </w:rPr>
        <w:t xml:space="preserve"> con respecto a los otros países y de 30,5 </w:t>
      </w:r>
      <w:proofErr w:type="spellStart"/>
      <w:r w:rsidR="00D52F00" w:rsidRPr="00064117">
        <w:rPr>
          <w:rFonts w:ascii="Times New Roman" w:hAnsi="Times New Roman" w:cs="Times New Roman"/>
          <w:sz w:val="24"/>
          <w:szCs w:val="24"/>
          <w:lang w:val="es-MX"/>
        </w:rPr>
        <w:t>p.p</w:t>
      </w:r>
      <w:proofErr w:type="spellEnd"/>
      <w:r w:rsidR="00D52F00" w:rsidRPr="00064117">
        <w:rPr>
          <w:rFonts w:ascii="Times New Roman" w:hAnsi="Times New Roman" w:cs="Times New Roman"/>
          <w:sz w:val="24"/>
          <w:szCs w:val="24"/>
          <w:lang w:val="es-MX"/>
        </w:rPr>
        <w:t xml:space="preserve"> a nivel minorista.</w:t>
      </w:r>
    </w:p>
    <w:p w14:paraId="43571E8B" w14:textId="77777777" w:rsidR="007516C5" w:rsidRDefault="007516C5" w:rsidP="00D52F00">
      <w:pPr>
        <w:spacing w:after="0" w:line="240" w:lineRule="auto"/>
        <w:jc w:val="both"/>
        <w:rPr>
          <w:rFonts w:ascii="Times New Roman" w:hAnsi="Times New Roman" w:cs="Times New Roman"/>
          <w:sz w:val="24"/>
          <w:szCs w:val="24"/>
          <w:lang w:val="es-MX"/>
        </w:rPr>
      </w:pPr>
    </w:p>
    <w:p w14:paraId="04D6FC81" w14:textId="5B032BF6" w:rsidR="00F66572" w:rsidRPr="00064117" w:rsidRDefault="007516C5" w:rsidP="00064117">
      <w:pPr>
        <w:pStyle w:val="Prrafodelista"/>
        <w:numPr>
          <w:ilvl w:val="0"/>
          <w:numId w:val="7"/>
        </w:numPr>
        <w:spacing w:after="0" w:line="240" w:lineRule="auto"/>
        <w:jc w:val="both"/>
        <w:rPr>
          <w:rFonts w:ascii="Times New Roman" w:hAnsi="Times New Roman" w:cs="Times New Roman"/>
          <w:sz w:val="24"/>
          <w:szCs w:val="24"/>
        </w:rPr>
      </w:pPr>
      <w:r w:rsidRPr="00064117">
        <w:rPr>
          <w:rFonts w:ascii="Times New Roman" w:hAnsi="Times New Roman" w:cs="Times New Roman"/>
          <w:sz w:val="24"/>
          <w:szCs w:val="24"/>
        </w:rPr>
        <w:t>Que</w:t>
      </w:r>
      <w:r w:rsidR="00F66572" w:rsidRPr="00064117">
        <w:rPr>
          <w:rFonts w:ascii="Times New Roman" w:hAnsi="Times New Roman" w:cs="Times New Roman"/>
          <w:sz w:val="24"/>
          <w:szCs w:val="24"/>
        </w:rPr>
        <w:t xml:space="preserve">, a propósito de lo expuesto, la DAEC señala que dichos márgenes presentan condiciones que merecen especial atención por su magnitud, situación que </w:t>
      </w:r>
      <w:r w:rsidR="00191C40" w:rsidRPr="00064117">
        <w:rPr>
          <w:rFonts w:ascii="Times New Roman" w:hAnsi="Times New Roman" w:cs="Times New Roman"/>
          <w:sz w:val="24"/>
          <w:szCs w:val="24"/>
        </w:rPr>
        <w:t>esa</w:t>
      </w:r>
      <w:r w:rsidR="00F66572" w:rsidRPr="00064117">
        <w:rPr>
          <w:rFonts w:ascii="Times New Roman" w:hAnsi="Times New Roman" w:cs="Times New Roman"/>
          <w:sz w:val="24"/>
          <w:szCs w:val="24"/>
        </w:rPr>
        <w:t xml:space="preserve"> Dirección estima como anormal, partiendo de la referencia internacional expuesta a lo largo de</w:t>
      </w:r>
      <w:r w:rsidR="00191C40" w:rsidRPr="00064117">
        <w:rPr>
          <w:rFonts w:ascii="Times New Roman" w:hAnsi="Times New Roman" w:cs="Times New Roman"/>
          <w:sz w:val="24"/>
          <w:szCs w:val="24"/>
        </w:rPr>
        <w:t xml:space="preserve">l informe </w:t>
      </w:r>
      <w:r w:rsidR="009113EA">
        <w:rPr>
          <w:rFonts w:ascii="Times New Roman" w:hAnsi="Times New Roman" w:cs="Times New Roman"/>
          <w:sz w:val="24"/>
          <w:szCs w:val="24"/>
        </w:rPr>
        <w:t>elaborado</w:t>
      </w:r>
      <w:r w:rsidR="00191C40" w:rsidRPr="00064117">
        <w:rPr>
          <w:rFonts w:ascii="Times New Roman" w:hAnsi="Times New Roman" w:cs="Times New Roman"/>
          <w:sz w:val="24"/>
          <w:szCs w:val="24"/>
        </w:rPr>
        <w:t>.</w:t>
      </w:r>
    </w:p>
    <w:p w14:paraId="0BFBBE0C" w14:textId="77777777" w:rsidR="00064117" w:rsidRPr="00064117" w:rsidRDefault="00064117" w:rsidP="00064117">
      <w:pPr>
        <w:pStyle w:val="Prrafodelista"/>
        <w:rPr>
          <w:rFonts w:ascii="Times New Roman" w:hAnsi="Times New Roman" w:cs="Times New Roman"/>
          <w:sz w:val="24"/>
          <w:szCs w:val="24"/>
        </w:rPr>
      </w:pPr>
    </w:p>
    <w:p w14:paraId="530A613F" w14:textId="7AA1A57B" w:rsidR="00A34ED4" w:rsidRPr="00064117" w:rsidRDefault="00A34ED4" w:rsidP="00D52F00">
      <w:pPr>
        <w:pStyle w:val="Prrafodelista"/>
        <w:numPr>
          <w:ilvl w:val="0"/>
          <w:numId w:val="7"/>
        </w:numPr>
        <w:spacing w:after="0" w:line="240" w:lineRule="auto"/>
        <w:jc w:val="both"/>
        <w:rPr>
          <w:rFonts w:ascii="Times New Roman" w:hAnsi="Times New Roman" w:cs="Times New Roman"/>
          <w:sz w:val="24"/>
          <w:szCs w:val="24"/>
        </w:rPr>
      </w:pPr>
      <w:r w:rsidRPr="00064117">
        <w:rPr>
          <w:rFonts w:ascii="Times New Roman" w:hAnsi="Times New Roman" w:cs="Times New Roman"/>
          <w:sz w:val="24"/>
          <w:szCs w:val="24"/>
          <w:lang w:val="es-MX"/>
        </w:rPr>
        <w:t xml:space="preserve">Que, la DAEC </w:t>
      </w:r>
      <w:r w:rsidR="00E61055" w:rsidRPr="00064117">
        <w:rPr>
          <w:rFonts w:ascii="Times New Roman" w:hAnsi="Times New Roman" w:cs="Times New Roman"/>
          <w:sz w:val="24"/>
          <w:szCs w:val="24"/>
          <w:lang w:val="es-MX"/>
        </w:rPr>
        <w:t>como parte de los hallazgos</w:t>
      </w:r>
      <w:r w:rsidR="00AE5E1A" w:rsidRPr="00064117">
        <w:rPr>
          <w:rFonts w:ascii="Times New Roman" w:hAnsi="Times New Roman" w:cs="Times New Roman"/>
          <w:sz w:val="24"/>
          <w:szCs w:val="24"/>
          <w:lang w:val="es-MX"/>
        </w:rPr>
        <w:t xml:space="preserve">, </w:t>
      </w:r>
      <w:r w:rsidR="00E61055" w:rsidRPr="00064117">
        <w:rPr>
          <w:rFonts w:ascii="Times New Roman" w:hAnsi="Times New Roman" w:cs="Times New Roman"/>
          <w:sz w:val="24"/>
          <w:szCs w:val="24"/>
          <w:lang w:val="es-MX"/>
        </w:rPr>
        <w:t>señala que</w:t>
      </w:r>
      <w:r w:rsidR="002260FC">
        <w:rPr>
          <w:rFonts w:ascii="Times New Roman" w:hAnsi="Times New Roman" w:cs="Times New Roman"/>
          <w:sz w:val="24"/>
          <w:szCs w:val="24"/>
          <w:lang w:val="es-MX"/>
        </w:rPr>
        <w:t>,</w:t>
      </w:r>
      <w:r w:rsidR="00E61055" w:rsidRPr="00064117">
        <w:rPr>
          <w:rFonts w:ascii="Times New Roman" w:hAnsi="Times New Roman" w:cs="Times New Roman"/>
          <w:sz w:val="24"/>
          <w:szCs w:val="24"/>
          <w:lang w:val="es-MX"/>
        </w:rPr>
        <w:t xml:space="preserve"> ante la posibilidad de optar por una</w:t>
      </w:r>
      <w:r w:rsidRPr="00064117">
        <w:rPr>
          <w:rFonts w:ascii="Times New Roman" w:hAnsi="Times New Roman" w:cs="Times New Roman"/>
          <w:sz w:val="24"/>
          <w:szCs w:val="24"/>
          <w:lang w:val="es-MX"/>
        </w:rPr>
        <w:t xml:space="preserve"> medida regulatoria a nivel de márgenes, en el informe </w:t>
      </w:r>
      <w:r w:rsidR="00E61055" w:rsidRPr="00064117">
        <w:rPr>
          <w:rFonts w:ascii="Times New Roman" w:hAnsi="Times New Roman" w:cs="Times New Roman"/>
          <w:sz w:val="24"/>
          <w:szCs w:val="24"/>
          <w:lang w:val="es-MX"/>
        </w:rPr>
        <w:t xml:space="preserve">se realizan </w:t>
      </w:r>
      <w:r w:rsidRPr="00064117">
        <w:rPr>
          <w:rFonts w:ascii="Times New Roman" w:hAnsi="Times New Roman" w:cs="Times New Roman"/>
          <w:sz w:val="24"/>
          <w:szCs w:val="24"/>
          <w:lang w:val="es-MX"/>
        </w:rPr>
        <w:t>pruebas estadísticas para obtener márgenes brutos de comercialización máximos por Grupo Terapéutico, a nivel mayorista y minorista, que permiten tener una aproximación a la referencia internacional sobre el comportamiento de esta variable.</w:t>
      </w:r>
    </w:p>
    <w:p w14:paraId="53D8C9A1" w14:textId="77777777" w:rsidR="00553517" w:rsidRPr="00A661AE" w:rsidRDefault="00553517" w:rsidP="002518E4">
      <w:pPr>
        <w:spacing w:after="0" w:line="240" w:lineRule="auto"/>
        <w:rPr>
          <w:rFonts w:ascii="Times New Roman" w:hAnsi="Times New Roman" w:cs="Times New Roman"/>
          <w:sz w:val="24"/>
          <w:szCs w:val="24"/>
        </w:rPr>
      </w:pPr>
    </w:p>
    <w:p w14:paraId="73F103B6" w14:textId="4E41116E" w:rsidR="001F5341" w:rsidRPr="00064117" w:rsidRDefault="009736CD" w:rsidP="00064117">
      <w:pPr>
        <w:pStyle w:val="Prrafodelista"/>
        <w:numPr>
          <w:ilvl w:val="0"/>
          <w:numId w:val="7"/>
        </w:numPr>
        <w:spacing w:after="0" w:line="240" w:lineRule="auto"/>
        <w:jc w:val="both"/>
        <w:rPr>
          <w:rFonts w:ascii="Times New Roman" w:hAnsi="Times New Roman" w:cs="Times New Roman"/>
          <w:sz w:val="24"/>
          <w:szCs w:val="24"/>
        </w:rPr>
      </w:pPr>
      <w:r w:rsidRPr="00064117">
        <w:rPr>
          <w:rFonts w:ascii="Times New Roman" w:hAnsi="Times New Roman" w:cs="Times New Roman"/>
          <w:sz w:val="24"/>
          <w:szCs w:val="24"/>
        </w:rPr>
        <w:t xml:space="preserve">Que, </w:t>
      </w:r>
      <w:r w:rsidR="00E61055" w:rsidRPr="00064117">
        <w:rPr>
          <w:rFonts w:ascii="Times New Roman" w:hAnsi="Times New Roman" w:cs="Times New Roman"/>
          <w:sz w:val="24"/>
          <w:szCs w:val="24"/>
        </w:rPr>
        <w:t>una vez valorado integralmente el informe presentado</w:t>
      </w:r>
      <w:r w:rsidR="00187AEA">
        <w:rPr>
          <w:rFonts w:ascii="Times New Roman" w:hAnsi="Times New Roman" w:cs="Times New Roman"/>
          <w:sz w:val="24"/>
          <w:szCs w:val="24"/>
        </w:rPr>
        <w:t xml:space="preserve"> por el Despacho Ministerial</w:t>
      </w:r>
      <w:r w:rsidR="00E61055" w:rsidRPr="00064117">
        <w:rPr>
          <w:rFonts w:ascii="Times New Roman" w:hAnsi="Times New Roman" w:cs="Times New Roman"/>
          <w:sz w:val="24"/>
          <w:szCs w:val="24"/>
        </w:rPr>
        <w:t xml:space="preserve">, se </w:t>
      </w:r>
      <w:r w:rsidR="00A951B7">
        <w:rPr>
          <w:rFonts w:ascii="Times New Roman" w:hAnsi="Times New Roman" w:cs="Times New Roman"/>
          <w:sz w:val="24"/>
          <w:szCs w:val="24"/>
        </w:rPr>
        <w:t>identifica</w:t>
      </w:r>
      <w:r w:rsidR="00E61055" w:rsidRPr="00064117">
        <w:rPr>
          <w:rFonts w:ascii="Times New Roman" w:hAnsi="Times New Roman" w:cs="Times New Roman"/>
          <w:sz w:val="24"/>
          <w:szCs w:val="24"/>
        </w:rPr>
        <w:t xml:space="preserve"> la existencia de una anomalía en el funcionamiento del mercado de medicamentos, razón la cual y dada</w:t>
      </w:r>
      <w:r w:rsidRPr="00064117">
        <w:rPr>
          <w:rFonts w:ascii="Times New Roman" w:hAnsi="Times New Roman" w:cs="Times New Roman"/>
          <w:sz w:val="24"/>
          <w:szCs w:val="24"/>
        </w:rPr>
        <w:t xml:space="preserve"> la importancia </w:t>
      </w:r>
      <w:r w:rsidR="00A951B7">
        <w:rPr>
          <w:rFonts w:ascii="Times New Roman" w:hAnsi="Times New Roman" w:cs="Times New Roman"/>
          <w:sz w:val="24"/>
          <w:szCs w:val="24"/>
        </w:rPr>
        <w:t xml:space="preserve">e impacto </w:t>
      </w:r>
      <w:r w:rsidRPr="00064117">
        <w:rPr>
          <w:rFonts w:ascii="Times New Roman" w:hAnsi="Times New Roman" w:cs="Times New Roman"/>
          <w:sz w:val="24"/>
          <w:szCs w:val="24"/>
        </w:rPr>
        <w:t>de este mercado</w:t>
      </w:r>
      <w:r w:rsidR="00191C40" w:rsidRPr="00064117">
        <w:rPr>
          <w:rFonts w:ascii="Times New Roman" w:hAnsi="Times New Roman" w:cs="Times New Roman"/>
          <w:sz w:val="24"/>
          <w:szCs w:val="24"/>
        </w:rPr>
        <w:t xml:space="preserve"> en el disfrute de la salud de la población</w:t>
      </w:r>
      <w:r w:rsidRPr="00064117">
        <w:rPr>
          <w:rFonts w:ascii="Times New Roman" w:hAnsi="Times New Roman" w:cs="Times New Roman"/>
          <w:sz w:val="24"/>
          <w:szCs w:val="24"/>
        </w:rPr>
        <w:t xml:space="preserve">, se considera </w:t>
      </w:r>
      <w:r w:rsidR="00511F71" w:rsidRPr="00064117">
        <w:rPr>
          <w:rFonts w:ascii="Times New Roman" w:hAnsi="Times New Roman" w:cs="Times New Roman"/>
          <w:sz w:val="24"/>
          <w:szCs w:val="24"/>
        </w:rPr>
        <w:t xml:space="preserve">de interés público </w:t>
      </w:r>
      <w:r w:rsidRPr="00064117">
        <w:rPr>
          <w:rFonts w:ascii="Times New Roman" w:hAnsi="Times New Roman" w:cs="Times New Roman"/>
          <w:sz w:val="24"/>
          <w:szCs w:val="24"/>
        </w:rPr>
        <w:t xml:space="preserve">que el Estado intervenga, </w:t>
      </w:r>
      <w:r w:rsidR="008F7829" w:rsidRPr="00064117">
        <w:rPr>
          <w:rFonts w:ascii="Times New Roman" w:hAnsi="Times New Roman" w:cs="Times New Roman"/>
          <w:sz w:val="24"/>
          <w:szCs w:val="24"/>
        </w:rPr>
        <w:t>mediante la introducción de una medida temporal y de carácter excepcional de regulación de</w:t>
      </w:r>
      <w:r w:rsidR="002518E4" w:rsidRPr="00064117">
        <w:rPr>
          <w:rFonts w:ascii="Times New Roman" w:hAnsi="Times New Roman" w:cs="Times New Roman"/>
          <w:sz w:val="24"/>
          <w:szCs w:val="24"/>
        </w:rPr>
        <w:t xml:space="preserve"> </w:t>
      </w:r>
      <w:r w:rsidRPr="00064117">
        <w:rPr>
          <w:rFonts w:ascii="Times New Roman" w:hAnsi="Times New Roman" w:cs="Times New Roman"/>
          <w:sz w:val="24"/>
          <w:szCs w:val="24"/>
        </w:rPr>
        <w:t>los márgenes brutos de comercialización</w:t>
      </w:r>
      <w:r w:rsidR="00EA5713" w:rsidRPr="00064117">
        <w:rPr>
          <w:rFonts w:ascii="Times New Roman" w:hAnsi="Times New Roman" w:cs="Times New Roman"/>
          <w:sz w:val="24"/>
          <w:szCs w:val="24"/>
        </w:rPr>
        <w:t xml:space="preserve">, de manera </w:t>
      </w:r>
      <w:r w:rsidR="00511F71" w:rsidRPr="00064117">
        <w:rPr>
          <w:rFonts w:ascii="Times New Roman" w:hAnsi="Times New Roman" w:cs="Times New Roman"/>
          <w:sz w:val="24"/>
          <w:szCs w:val="24"/>
        </w:rPr>
        <w:t>que</w:t>
      </w:r>
      <w:r w:rsidR="00EA5713" w:rsidRPr="00064117">
        <w:rPr>
          <w:rFonts w:ascii="Times New Roman" w:hAnsi="Times New Roman" w:cs="Times New Roman"/>
          <w:sz w:val="24"/>
          <w:szCs w:val="24"/>
        </w:rPr>
        <w:t xml:space="preserve"> </w:t>
      </w:r>
      <w:r w:rsidR="00511F71" w:rsidRPr="00064117">
        <w:rPr>
          <w:rFonts w:ascii="Times New Roman" w:hAnsi="Times New Roman" w:cs="Times New Roman"/>
          <w:sz w:val="24"/>
          <w:szCs w:val="24"/>
        </w:rPr>
        <w:t xml:space="preserve">contribuya a </w:t>
      </w:r>
      <w:r w:rsidRPr="00064117">
        <w:rPr>
          <w:rFonts w:ascii="Times New Roman" w:hAnsi="Times New Roman" w:cs="Times New Roman"/>
          <w:sz w:val="24"/>
          <w:szCs w:val="24"/>
        </w:rPr>
        <w:t>garantizar un funcionamiento más equilibrado</w:t>
      </w:r>
      <w:r w:rsidR="00553517" w:rsidRPr="00064117">
        <w:rPr>
          <w:rFonts w:ascii="Times New Roman" w:hAnsi="Times New Roman" w:cs="Times New Roman"/>
          <w:sz w:val="24"/>
          <w:szCs w:val="24"/>
        </w:rPr>
        <w:t xml:space="preserve"> del mercado y </w:t>
      </w:r>
      <w:r w:rsidR="00A951B7">
        <w:rPr>
          <w:rFonts w:ascii="Times New Roman" w:hAnsi="Times New Roman" w:cs="Times New Roman"/>
          <w:sz w:val="24"/>
          <w:szCs w:val="24"/>
        </w:rPr>
        <w:t xml:space="preserve">a </w:t>
      </w:r>
      <w:r w:rsidR="008F7829" w:rsidRPr="00064117">
        <w:rPr>
          <w:rFonts w:ascii="Times New Roman" w:hAnsi="Times New Roman" w:cs="Times New Roman"/>
          <w:sz w:val="24"/>
          <w:szCs w:val="24"/>
        </w:rPr>
        <w:t>propiciar un comportamiento más ajustado</w:t>
      </w:r>
      <w:r w:rsidR="00553517" w:rsidRPr="00064117">
        <w:rPr>
          <w:rFonts w:ascii="Times New Roman" w:hAnsi="Times New Roman" w:cs="Times New Roman"/>
          <w:sz w:val="24"/>
          <w:szCs w:val="24"/>
        </w:rPr>
        <w:t xml:space="preserve"> </w:t>
      </w:r>
      <w:r w:rsidR="008F7829" w:rsidRPr="00064117">
        <w:rPr>
          <w:rFonts w:ascii="Times New Roman" w:hAnsi="Times New Roman" w:cs="Times New Roman"/>
          <w:sz w:val="24"/>
          <w:szCs w:val="24"/>
        </w:rPr>
        <w:t>al que se registra en el</w:t>
      </w:r>
      <w:r w:rsidR="00841E16" w:rsidRPr="00064117">
        <w:rPr>
          <w:rFonts w:ascii="Times New Roman" w:hAnsi="Times New Roman" w:cs="Times New Roman"/>
          <w:sz w:val="24"/>
          <w:szCs w:val="24"/>
        </w:rPr>
        <w:t xml:space="preserve"> mercado global</w:t>
      </w:r>
      <w:r w:rsidR="001F04F1" w:rsidRPr="00064117">
        <w:rPr>
          <w:rFonts w:ascii="Times New Roman" w:hAnsi="Times New Roman" w:cs="Times New Roman"/>
          <w:sz w:val="24"/>
          <w:szCs w:val="24"/>
        </w:rPr>
        <w:t>, lo que redunde en beneficio del consumidor.</w:t>
      </w:r>
    </w:p>
    <w:p w14:paraId="491C5A74" w14:textId="77777777" w:rsidR="00064117" w:rsidRPr="00064117" w:rsidRDefault="00064117" w:rsidP="00064117">
      <w:pPr>
        <w:pStyle w:val="Prrafodelista"/>
        <w:rPr>
          <w:rFonts w:ascii="Times New Roman" w:hAnsi="Times New Roman" w:cs="Times New Roman"/>
          <w:sz w:val="24"/>
          <w:szCs w:val="24"/>
        </w:rPr>
      </w:pPr>
    </w:p>
    <w:p w14:paraId="6F75A98C" w14:textId="71D01F1A" w:rsidR="0084017C" w:rsidRPr="00064117" w:rsidRDefault="0084017C" w:rsidP="0084017C">
      <w:pPr>
        <w:pStyle w:val="Prrafodelista"/>
        <w:numPr>
          <w:ilvl w:val="0"/>
          <w:numId w:val="7"/>
        </w:numPr>
        <w:spacing w:after="0" w:line="240" w:lineRule="auto"/>
        <w:jc w:val="both"/>
        <w:rPr>
          <w:rFonts w:ascii="Times New Roman" w:hAnsi="Times New Roman" w:cs="Times New Roman"/>
          <w:sz w:val="24"/>
          <w:szCs w:val="24"/>
        </w:rPr>
      </w:pPr>
      <w:r w:rsidRPr="00064117">
        <w:rPr>
          <w:rFonts w:ascii="Times New Roman" w:hAnsi="Times New Roman" w:cs="Times New Roman"/>
          <w:sz w:val="24"/>
          <w:szCs w:val="24"/>
        </w:rPr>
        <w:t xml:space="preserve">Que, con base en lo anterior, el margen máximo de comercialización se establecerá por grupo terapéutico, </w:t>
      </w:r>
      <w:r w:rsidR="00F13F5C">
        <w:rPr>
          <w:rFonts w:ascii="Times New Roman" w:hAnsi="Times New Roman" w:cs="Times New Roman"/>
          <w:sz w:val="24"/>
          <w:szCs w:val="24"/>
        </w:rPr>
        <w:t>abarcando a todos los principios activos que conforman cada grupo según la clasificación ATC</w:t>
      </w:r>
      <w:r w:rsidR="00F13F5C" w:rsidRPr="00F13F5C">
        <w:t xml:space="preserve"> </w:t>
      </w:r>
      <w:r w:rsidR="00F13F5C">
        <w:t>(</w:t>
      </w:r>
      <w:proofErr w:type="spellStart"/>
      <w:r w:rsidR="00F13F5C" w:rsidRPr="00F13F5C">
        <w:rPr>
          <w:rFonts w:ascii="Times New Roman" w:hAnsi="Times New Roman" w:cs="Times New Roman"/>
          <w:sz w:val="24"/>
          <w:szCs w:val="24"/>
        </w:rPr>
        <w:t>Anatomical</w:t>
      </w:r>
      <w:proofErr w:type="spellEnd"/>
      <w:r w:rsidR="00F13F5C" w:rsidRPr="00F13F5C">
        <w:rPr>
          <w:rFonts w:ascii="Times New Roman" w:hAnsi="Times New Roman" w:cs="Times New Roman"/>
          <w:sz w:val="24"/>
          <w:szCs w:val="24"/>
        </w:rPr>
        <w:t xml:space="preserve"> </w:t>
      </w:r>
      <w:proofErr w:type="spellStart"/>
      <w:r w:rsidR="00F13F5C" w:rsidRPr="00F13F5C">
        <w:rPr>
          <w:rFonts w:ascii="Times New Roman" w:hAnsi="Times New Roman" w:cs="Times New Roman"/>
          <w:sz w:val="24"/>
          <w:szCs w:val="24"/>
        </w:rPr>
        <w:t>Therapeutic</w:t>
      </w:r>
      <w:proofErr w:type="spellEnd"/>
      <w:r w:rsidR="00F13F5C" w:rsidRPr="00F13F5C">
        <w:rPr>
          <w:rFonts w:ascii="Times New Roman" w:hAnsi="Times New Roman" w:cs="Times New Roman"/>
          <w:sz w:val="24"/>
          <w:szCs w:val="24"/>
        </w:rPr>
        <w:t xml:space="preserve"> Chemical</w:t>
      </w:r>
      <w:r w:rsidR="00F13F5C">
        <w:rPr>
          <w:rFonts w:ascii="Times New Roman" w:hAnsi="Times New Roman" w:cs="Times New Roman"/>
          <w:sz w:val="24"/>
          <w:szCs w:val="24"/>
        </w:rPr>
        <w:t xml:space="preserve">), </w:t>
      </w:r>
      <w:r w:rsidRPr="00064117">
        <w:rPr>
          <w:rFonts w:ascii="Times New Roman" w:hAnsi="Times New Roman" w:cs="Times New Roman"/>
          <w:sz w:val="24"/>
          <w:szCs w:val="24"/>
        </w:rPr>
        <w:t>el cual se fijará utilizando el promedio de los márgenes de 47 países analizados en el estudio DAEC-INF-001-2024, sumado al valor absoluto de la desviación estándar obtenida de ese grupo de márgenes, utilizando una transformación logarítmica para asegurar el comportamiento normal de la variable. Este cálculo se estima razonable, ya que sitúa el margen por encima del promedio internacional, no siendo restrictivo para la industria, y permitiendo una racionalización en la comercialización en comparación con el comportamiento mundial. La medida se dirige tanto a droguerías como farmacias, estableciéndose una diferenciación en el margen por grupo terapéutico para ambos eslabones.</w:t>
      </w:r>
    </w:p>
    <w:p w14:paraId="50210776" w14:textId="77777777" w:rsidR="0084017C" w:rsidRDefault="0084017C" w:rsidP="0084017C">
      <w:pPr>
        <w:spacing w:after="0" w:line="240" w:lineRule="auto"/>
        <w:jc w:val="both"/>
        <w:rPr>
          <w:rFonts w:ascii="Times New Roman" w:hAnsi="Times New Roman" w:cs="Times New Roman"/>
          <w:sz w:val="24"/>
          <w:szCs w:val="24"/>
        </w:rPr>
      </w:pPr>
    </w:p>
    <w:p w14:paraId="64626A32" w14:textId="7812BF02" w:rsidR="00064117" w:rsidRPr="00064117" w:rsidRDefault="0084017C" w:rsidP="00064117">
      <w:pPr>
        <w:pStyle w:val="Prrafodelista"/>
        <w:numPr>
          <w:ilvl w:val="0"/>
          <w:numId w:val="7"/>
        </w:numPr>
        <w:spacing w:after="0" w:line="240" w:lineRule="auto"/>
        <w:jc w:val="both"/>
        <w:rPr>
          <w:rFonts w:ascii="Times New Roman" w:hAnsi="Times New Roman" w:cs="Times New Roman"/>
          <w:sz w:val="24"/>
          <w:szCs w:val="24"/>
        </w:rPr>
      </w:pPr>
      <w:r w:rsidRPr="00064117">
        <w:rPr>
          <w:rFonts w:ascii="Times New Roman" w:hAnsi="Times New Roman" w:cs="Times New Roman"/>
          <w:sz w:val="24"/>
          <w:szCs w:val="24"/>
        </w:rPr>
        <w:t>Que, esta medida de regulación deberá aplicarse a todos los medicamentos registrados ante el Ministerio de Salud, para evitar que se concentren márgenes superiores en ciertos productos, evitar distorsiones innecesarias que hagan más compleja la contabilidad interna de los expendios de medicamentos y considerando que resulta imposible discriminar entre medicamentos que son igualmente importantes para la población en la atención y control de los padecimientos que afectan su salud.</w:t>
      </w:r>
    </w:p>
    <w:p w14:paraId="521DAA44" w14:textId="77777777" w:rsidR="00064117" w:rsidRPr="00064117" w:rsidRDefault="00064117" w:rsidP="00064117">
      <w:pPr>
        <w:pStyle w:val="Prrafodelista"/>
        <w:rPr>
          <w:rFonts w:ascii="Times New Roman" w:hAnsi="Times New Roman" w:cs="Times New Roman"/>
          <w:sz w:val="24"/>
          <w:szCs w:val="24"/>
        </w:rPr>
      </w:pPr>
    </w:p>
    <w:p w14:paraId="1AA294BA" w14:textId="19E97612" w:rsidR="0084017C" w:rsidRPr="00064117" w:rsidRDefault="0084017C" w:rsidP="0084017C">
      <w:pPr>
        <w:pStyle w:val="Prrafodelista"/>
        <w:numPr>
          <w:ilvl w:val="0"/>
          <w:numId w:val="7"/>
        </w:numPr>
        <w:spacing w:after="0" w:line="240" w:lineRule="auto"/>
        <w:jc w:val="both"/>
        <w:rPr>
          <w:rFonts w:ascii="Times New Roman" w:hAnsi="Times New Roman" w:cs="Times New Roman"/>
          <w:sz w:val="24"/>
          <w:szCs w:val="24"/>
        </w:rPr>
      </w:pPr>
      <w:r w:rsidRPr="00064117">
        <w:rPr>
          <w:rFonts w:ascii="Times New Roman" w:hAnsi="Times New Roman" w:cs="Times New Roman"/>
          <w:sz w:val="24"/>
          <w:szCs w:val="24"/>
        </w:rPr>
        <w:t xml:space="preserve">Que, con el propósito de monitorear los efectos de la medida regulatoria a adoptar en </w:t>
      </w:r>
      <w:r w:rsidR="00A951B7">
        <w:rPr>
          <w:rFonts w:ascii="Times New Roman" w:hAnsi="Times New Roman" w:cs="Times New Roman"/>
          <w:sz w:val="24"/>
          <w:szCs w:val="24"/>
        </w:rPr>
        <w:t>los márgenes de comercialización</w:t>
      </w:r>
      <w:r w:rsidRPr="00064117">
        <w:rPr>
          <w:rFonts w:ascii="Times New Roman" w:hAnsi="Times New Roman" w:cs="Times New Roman"/>
          <w:sz w:val="24"/>
          <w:szCs w:val="24"/>
        </w:rPr>
        <w:t xml:space="preserve"> de medicamentos en comparación con la referencia internacional, además de contar con información para la eventual definición de medidas adicionales a la aquí propuesta, es indispensable contar con el apoyo del Ministerio de Hacienda como del Ministerio de Salud, específicamente con datos de Factura Electrónica e importaciones, así como del registro sanitario de medicamentos.</w:t>
      </w:r>
      <w:r w:rsidR="00001039">
        <w:rPr>
          <w:rFonts w:ascii="Times New Roman" w:hAnsi="Times New Roman" w:cs="Times New Roman"/>
          <w:sz w:val="24"/>
          <w:szCs w:val="24"/>
        </w:rPr>
        <w:t xml:space="preserve"> </w:t>
      </w:r>
    </w:p>
    <w:p w14:paraId="57782CA9" w14:textId="77777777" w:rsidR="00841E16" w:rsidRPr="00AE5E1A" w:rsidRDefault="00841E16" w:rsidP="00AE5E1A">
      <w:pPr>
        <w:spacing w:after="0" w:line="240" w:lineRule="auto"/>
        <w:jc w:val="both"/>
        <w:rPr>
          <w:rFonts w:ascii="Times New Roman" w:hAnsi="Times New Roman" w:cs="Times New Roman"/>
          <w:sz w:val="24"/>
          <w:szCs w:val="24"/>
        </w:rPr>
      </w:pPr>
    </w:p>
    <w:p w14:paraId="2B1718F2" w14:textId="3F27CC59" w:rsidR="00064117" w:rsidRDefault="00841E16" w:rsidP="008017BC">
      <w:pPr>
        <w:pStyle w:val="Prrafodelista"/>
        <w:numPr>
          <w:ilvl w:val="0"/>
          <w:numId w:val="7"/>
        </w:numPr>
        <w:spacing w:after="0" w:line="240" w:lineRule="auto"/>
        <w:jc w:val="both"/>
        <w:rPr>
          <w:rFonts w:ascii="Times New Roman" w:hAnsi="Times New Roman" w:cs="Times New Roman"/>
          <w:sz w:val="24"/>
          <w:szCs w:val="24"/>
        </w:rPr>
      </w:pPr>
      <w:r w:rsidRPr="003E6516">
        <w:rPr>
          <w:rFonts w:ascii="Times New Roman" w:hAnsi="Times New Roman" w:cs="Times New Roman"/>
          <w:sz w:val="24"/>
          <w:szCs w:val="24"/>
        </w:rPr>
        <w:t>Que, mediante aviso publicado en el sitio web del MEIC, se somete a consulta pública por el plazo de diez días hábiles la presente propuesta (</w:t>
      </w:r>
      <w:r w:rsidRPr="003E6516">
        <w:rPr>
          <w:rFonts w:ascii="Times New Roman" w:hAnsi="Times New Roman" w:cs="Times New Roman"/>
          <w:b/>
          <w:bCs/>
          <w:sz w:val="24"/>
          <w:szCs w:val="24"/>
        </w:rPr>
        <w:t xml:space="preserve">inicio de la consulta pública el </w:t>
      </w:r>
      <w:r w:rsidR="003E6516" w:rsidRPr="003E6516">
        <w:rPr>
          <w:rFonts w:ascii="Times New Roman" w:hAnsi="Times New Roman" w:cs="Times New Roman"/>
          <w:b/>
          <w:bCs/>
          <w:sz w:val="24"/>
          <w:szCs w:val="24"/>
        </w:rPr>
        <w:t>1</w:t>
      </w:r>
      <w:r w:rsidR="00A86D09">
        <w:rPr>
          <w:rFonts w:ascii="Times New Roman" w:hAnsi="Times New Roman" w:cs="Times New Roman"/>
          <w:b/>
          <w:bCs/>
          <w:sz w:val="24"/>
          <w:szCs w:val="24"/>
        </w:rPr>
        <w:t>4</w:t>
      </w:r>
      <w:r w:rsidRPr="003E6516">
        <w:rPr>
          <w:rFonts w:ascii="Times New Roman" w:hAnsi="Times New Roman" w:cs="Times New Roman"/>
          <w:b/>
          <w:bCs/>
          <w:sz w:val="24"/>
          <w:szCs w:val="24"/>
        </w:rPr>
        <w:t xml:space="preserve"> de </w:t>
      </w:r>
      <w:r w:rsidR="003E6516" w:rsidRPr="003E6516">
        <w:rPr>
          <w:rFonts w:ascii="Times New Roman" w:hAnsi="Times New Roman" w:cs="Times New Roman"/>
          <w:b/>
          <w:bCs/>
          <w:sz w:val="24"/>
          <w:szCs w:val="24"/>
        </w:rPr>
        <w:t>octubre</w:t>
      </w:r>
      <w:r w:rsidRPr="003E6516">
        <w:rPr>
          <w:rFonts w:ascii="Times New Roman" w:hAnsi="Times New Roman" w:cs="Times New Roman"/>
          <w:b/>
          <w:bCs/>
          <w:sz w:val="24"/>
          <w:szCs w:val="24"/>
        </w:rPr>
        <w:t xml:space="preserve"> del 2024 finalización de la consulta el </w:t>
      </w:r>
      <w:r w:rsidR="003E6516" w:rsidRPr="003E6516">
        <w:rPr>
          <w:rFonts w:ascii="Times New Roman" w:hAnsi="Times New Roman" w:cs="Times New Roman"/>
          <w:b/>
          <w:bCs/>
          <w:sz w:val="24"/>
          <w:szCs w:val="24"/>
        </w:rPr>
        <w:t>2</w:t>
      </w:r>
      <w:r w:rsidR="00A86D09">
        <w:rPr>
          <w:rFonts w:ascii="Times New Roman" w:hAnsi="Times New Roman" w:cs="Times New Roman"/>
          <w:b/>
          <w:bCs/>
          <w:sz w:val="24"/>
          <w:szCs w:val="24"/>
        </w:rPr>
        <w:t>5</w:t>
      </w:r>
      <w:r w:rsidRPr="003E6516">
        <w:rPr>
          <w:rFonts w:ascii="Times New Roman" w:hAnsi="Times New Roman" w:cs="Times New Roman"/>
          <w:b/>
          <w:bCs/>
          <w:sz w:val="24"/>
          <w:szCs w:val="24"/>
        </w:rPr>
        <w:t xml:space="preserve"> </w:t>
      </w:r>
      <w:r w:rsidR="003E6516" w:rsidRPr="003E6516">
        <w:rPr>
          <w:rFonts w:ascii="Times New Roman" w:hAnsi="Times New Roman" w:cs="Times New Roman"/>
          <w:b/>
          <w:bCs/>
          <w:sz w:val="24"/>
          <w:szCs w:val="24"/>
        </w:rPr>
        <w:t xml:space="preserve">de octubre </w:t>
      </w:r>
      <w:r w:rsidRPr="003E6516">
        <w:rPr>
          <w:rFonts w:ascii="Times New Roman" w:hAnsi="Times New Roman" w:cs="Times New Roman"/>
          <w:b/>
          <w:bCs/>
          <w:sz w:val="24"/>
          <w:szCs w:val="24"/>
        </w:rPr>
        <w:t>del 2024</w:t>
      </w:r>
      <w:r w:rsidRPr="003E6516">
        <w:rPr>
          <w:rFonts w:ascii="Times New Roman" w:hAnsi="Times New Roman" w:cs="Times New Roman"/>
          <w:sz w:val="24"/>
          <w:szCs w:val="24"/>
        </w:rPr>
        <w:t xml:space="preserve">), lo anterior de conformidad con el artículo 361 de la Ley N° 6227 del 2 de mayo de 1978, Ley General de la Administración Pública. </w:t>
      </w:r>
    </w:p>
    <w:p w14:paraId="64993E88" w14:textId="77777777" w:rsidR="003E6516" w:rsidRPr="003E6516" w:rsidRDefault="003E6516" w:rsidP="003E6516">
      <w:pPr>
        <w:spacing w:after="0" w:line="240" w:lineRule="auto"/>
        <w:jc w:val="both"/>
        <w:rPr>
          <w:rFonts w:ascii="Times New Roman" w:hAnsi="Times New Roman" w:cs="Times New Roman"/>
          <w:sz w:val="24"/>
          <w:szCs w:val="24"/>
        </w:rPr>
      </w:pPr>
    </w:p>
    <w:p w14:paraId="7E71230F" w14:textId="7DA189A7" w:rsidR="006C7A55" w:rsidRPr="00064117" w:rsidRDefault="006C7A55" w:rsidP="0084017C">
      <w:pPr>
        <w:pStyle w:val="Prrafodelista"/>
        <w:numPr>
          <w:ilvl w:val="0"/>
          <w:numId w:val="7"/>
        </w:numPr>
        <w:spacing w:after="0" w:line="240" w:lineRule="auto"/>
        <w:jc w:val="both"/>
        <w:rPr>
          <w:rFonts w:ascii="Times New Roman" w:hAnsi="Times New Roman" w:cs="Times New Roman"/>
          <w:sz w:val="24"/>
          <w:szCs w:val="24"/>
        </w:rPr>
      </w:pPr>
      <w:r w:rsidRPr="00064117">
        <w:rPr>
          <w:rFonts w:ascii="Times New Roman" w:hAnsi="Times New Roman" w:cs="Times New Roman"/>
          <w:sz w:val="24"/>
          <w:szCs w:val="24"/>
        </w:rPr>
        <w:t xml:space="preserve">Que, conforme a los artículos 12, 13 y 14 de la Ley N° 8220, </w:t>
      </w:r>
      <w:r w:rsidRPr="00604D50">
        <w:rPr>
          <w:rFonts w:ascii="Times New Roman" w:hAnsi="Times New Roman" w:cs="Times New Roman"/>
          <w:i/>
          <w:iCs/>
          <w:sz w:val="24"/>
          <w:szCs w:val="24"/>
        </w:rPr>
        <w:t>Ley de Protección al Ciudadano del Exceso de Requisitos y Trámites Administrativos</w:t>
      </w:r>
      <w:r w:rsidRPr="00064117">
        <w:rPr>
          <w:rFonts w:ascii="Times New Roman" w:hAnsi="Times New Roman" w:cs="Times New Roman"/>
          <w:sz w:val="24"/>
          <w:szCs w:val="24"/>
        </w:rPr>
        <w:t>, el presente Decreto Ejecutivo al no crear, modificar ni establecer requisitos o procesos que debe cumplir el administrado, no requiere del trámite de verificación de que cumple con los principios de simplificación de trámite (formulario costo y beneficio) ante la Dirección de Mejora Regulatoria del Ministerio de Economía, Industria y Comercio.</w:t>
      </w:r>
    </w:p>
    <w:p w14:paraId="08943CFC" w14:textId="77777777" w:rsidR="0084017C" w:rsidRDefault="0084017C" w:rsidP="002518E4">
      <w:pPr>
        <w:spacing w:after="0" w:line="240" w:lineRule="auto"/>
        <w:jc w:val="both"/>
        <w:rPr>
          <w:rFonts w:ascii="Times New Roman" w:hAnsi="Times New Roman" w:cs="Times New Roman"/>
          <w:b/>
          <w:bCs/>
          <w:sz w:val="24"/>
          <w:szCs w:val="24"/>
        </w:rPr>
      </w:pPr>
    </w:p>
    <w:p w14:paraId="572545B1" w14:textId="6AB92EFB" w:rsidR="009736CD" w:rsidRPr="00A661AE" w:rsidRDefault="009736CD" w:rsidP="002518E4">
      <w:pPr>
        <w:spacing w:after="0" w:line="240" w:lineRule="auto"/>
        <w:jc w:val="both"/>
        <w:rPr>
          <w:rFonts w:ascii="Times New Roman" w:hAnsi="Times New Roman" w:cs="Times New Roman"/>
          <w:b/>
          <w:bCs/>
          <w:sz w:val="24"/>
          <w:szCs w:val="24"/>
        </w:rPr>
      </w:pPr>
      <w:r w:rsidRPr="00A661AE">
        <w:rPr>
          <w:rFonts w:ascii="Times New Roman" w:hAnsi="Times New Roman" w:cs="Times New Roman"/>
          <w:b/>
          <w:bCs/>
          <w:sz w:val="24"/>
          <w:szCs w:val="24"/>
        </w:rPr>
        <w:t>Por tanto</w:t>
      </w:r>
      <w:r w:rsidR="0084017C">
        <w:rPr>
          <w:rFonts w:ascii="Times New Roman" w:hAnsi="Times New Roman" w:cs="Times New Roman"/>
          <w:b/>
          <w:bCs/>
          <w:sz w:val="24"/>
          <w:szCs w:val="24"/>
        </w:rPr>
        <w:t>;</w:t>
      </w:r>
    </w:p>
    <w:p w14:paraId="7598EDE0" w14:textId="77777777" w:rsidR="009736CD" w:rsidRPr="00A661AE" w:rsidRDefault="009736CD" w:rsidP="002518E4">
      <w:pPr>
        <w:spacing w:after="0" w:line="240" w:lineRule="auto"/>
        <w:jc w:val="both"/>
        <w:rPr>
          <w:rFonts w:ascii="Times New Roman" w:hAnsi="Times New Roman" w:cs="Times New Roman"/>
          <w:sz w:val="24"/>
          <w:szCs w:val="24"/>
        </w:rPr>
      </w:pPr>
    </w:p>
    <w:p w14:paraId="3D191523" w14:textId="79F2C287" w:rsidR="009736CD" w:rsidRDefault="009736CD" w:rsidP="002518E4">
      <w:pPr>
        <w:spacing w:after="0" w:line="240" w:lineRule="auto"/>
        <w:jc w:val="center"/>
        <w:rPr>
          <w:rFonts w:ascii="Times New Roman" w:hAnsi="Times New Roman" w:cs="Times New Roman"/>
          <w:b/>
          <w:bCs/>
          <w:sz w:val="24"/>
          <w:szCs w:val="24"/>
        </w:rPr>
      </w:pPr>
      <w:r w:rsidRPr="00A661AE">
        <w:rPr>
          <w:rFonts w:ascii="Times New Roman" w:hAnsi="Times New Roman" w:cs="Times New Roman"/>
          <w:b/>
          <w:bCs/>
          <w:sz w:val="24"/>
          <w:szCs w:val="24"/>
        </w:rPr>
        <w:t>DECRETAN</w:t>
      </w:r>
    </w:p>
    <w:p w14:paraId="18272D05" w14:textId="7C608905" w:rsidR="00FE606B" w:rsidRPr="00A661AE" w:rsidRDefault="00FE606B" w:rsidP="002518E4">
      <w:pPr>
        <w:spacing w:after="0" w:line="240" w:lineRule="auto"/>
        <w:jc w:val="center"/>
        <w:rPr>
          <w:rFonts w:ascii="Times New Roman" w:hAnsi="Times New Roman" w:cs="Times New Roman"/>
          <w:b/>
          <w:bCs/>
          <w:sz w:val="24"/>
          <w:szCs w:val="24"/>
        </w:rPr>
      </w:pPr>
      <w:bookmarkStart w:id="0" w:name="_Hlk179292960"/>
      <w:r>
        <w:rPr>
          <w:rFonts w:ascii="Times New Roman" w:hAnsi="Times New Roman" w:cs="Times New Roman"/>
          <w:b/>
          <w:bCs/>
          <w:sz w:val="24"/>
          <w:szCs w:val="24"/>
        </w:rPr>
        <w:t>REGULACIÓN DE M</w:t>
      </w:r>
      <w:r w:rsidR="003E6516">
        <w:rPr>
          <w:rFonts w:ascii="Times New Roman" w:hAnsi="Times New Roman" w:cs="Times New Roman"/>
          <w:b/>
          <w:bCs/>
          <w:sz w:val="24"/>
          <w:szCs w:val="24"/>
        </w:rPr>
        <w:t>A</w:t>
      </w:r>
      <w:r>
        <w:rPr>
          <w:rFonts w:ascii="Times New Roman" w:hAnsi="Times New Roman" w:cs="Times New Roman"/>
          <w:b/>
          <w:bCs/>
          <w:sz w:val="24"/>
          <w:szCs w:val="24"/>
        </w:rPr>
        <w:t>RGEN</w:t>
      </w:r>
      <w:r w:rsidR="003E6516">
        <w:rPr>
          <w:rFonts w:ascii="Times New Roman" w:hAnsi="Times New Roman" w:cs="Times New Roman"/>
          <w:b/>
          <w:bCs/>
          <w:sz w:val="24"/>
          <w:szCs w:val="24"/>
        </w:rPr>
        <w:t xml:space="preserve"> </w:t>
      </w:r>
      <w:r w:rsidRPr="00FE606B">
        <w:rPr>
          <w:rFonts w:ascii="Times New Roman" w:hAnsi="Times New Roman" w:cs="Times New Roman"/>
          <w:b/>
          <w:bCs/>
          <w:sz w:val="24"/>
          <w:szCs w:val="24"/>
        </w:rPr>
        <w:t xml:space="preserve">MÁXIMO DE COMERCIALIZACIÓN DE TODOS LOS MEDICAMENTOS REGISTRADOS ANTE EL MINISTERIO DE SALUD </w:t>
      </w:r>
    </w:p>
    <w:bookmarkEnd w:id="0"/>
    <w:p w14:paraId="7370C394" w14:textId="77777777" w:rsidR="009736CD" w:rsidRPr="00A661AE" w:rsidRDefault="009736CD" w:rsidP="002518E4">
      <w:pPr>
        <w:spacing w:after="0" w:line="240" w:lineRule="auto"/>
        <w:jc w:val="both"/>
        <w:rPr>
          <w:rFonts w:ascii="Times New Roman" w:hAnsi="Times New Roman" w:cs="Times New Roman"/>
          <w:sz w:val="24"/>
          <w:szCs w:val="24"/>
        </w:rPr>
      </w:pPr>
    </w:p>
    <w:p w14:paraId="4799F837" w14:textId="619E958E" w:rsidR="009736CD" w:rsidRDefault="009736CD" w:rsidP="002518E4">
      <w:pPr>
        <w:spacing w:after="0" w:line="240" w:lineRule="auto"/>
        <w:jc w:val="both"/>
        <w:rPr>
          <w:rFonts w:ascii="Times New Roman" w:hAnsi="Times New Roman" w:cs="Times New Roman"/>
          <w:sz w:val="24"/>
          <w:szCs w:val="24"/>
        </w:rPr>
      </w:pPr>
      <w:r w:rsidRPr="00A661AE">
        <w:rPr>
          <w:rFonts w:ascii="Times New Roman" w:hAnsi="Times New Roman" w:cs="Times New Roman"/>
          <w:b/>
          <w:bCs/>
          <w:sz w:val="24"/>
          <w:szCs w:val="24"/>
        </w:rPr>
        <w:t>Artículo 1°.-</w:t>
      </w:r>
      <w:r w:rsidRPr="00A661AE">
        <w:rPr>
          <w:rFonts w:ascii="Times New Roman" w:hAnsi="Times New Roman" w:cs="Times New Roman"/>
          <w:sz w:val="24"/>
          <w:szCs w:val="24"/>
        </w:rPr>
        <w:t xml:space="preserve"> Se </w:t>
      </w:r>
      <w:r w:rsidR="001D63C5" w:rsidRPr="00A661AE">
        <w:rPr>
          <w:rFonts w:ascii="Times New Roman" w:hAnsi="Times New Roman" w:cs="Times New Roman"/>
          <w:sz w:val="24"/>
          <w:szCs w:val="24"/>
        </w:rPr>
        <w:t xml:space="preserve">establece </w:t>
      </w:r>
      <w:r w:rsidRPr="00A661AE">
        <w:rPr>
          <w:rFonts w:ascii="Times New Roman" w:hAnsi="Times New Roman" w:cs="Times New Roman"/>
          <w:sz w:val="24"/>
          <w:szCs w:val="24"/>
        </w:rPr>
        <w:t>el m</w:t>
      </w:r>
      <w:r w:rsidR="003E6516">
        <w:rPr>
          <w:rFonts w:ascii="Times New Roman" w:hAnsi="Times New Roman" w:cs="Times New Roman"/>
          <w:sz w:val="24"/>
          <w:szCs w:val="24"/>
        </w:rPr>
        <w:t>a</w:t>
      </w:r>
      <w:r w:rsidRPr="00A661AE">
        <w:rPr>
          <w:rFonts w:ascii="Times New Roman" w:hAnsi="Times New Roman" w:cs="Times New Roman"/>
          <w:sz w:val="24"/>
          <w:szCs w:val="24"/>
        </w:rPr>
        <w:t xml:space="preserve">rgen </w:t>
      </w:r>
      <w:bookmarkStart w:id="1" w:name="_Hlk179292833"/>
      <w:r w:rsidRPr="00A661AE">
        <w:rPr>
          <w:rFonts w:ascii="Times New Roman" w:hAnsi="Times New Roman" w:cs="Times New Roman"/>
          <w:sz w:val="24"/>
          <w:szCs w:val="24"/>
        </w:rPr>
        <w:t>máximo de comercialización bruto de todos los medicamentos registrados ante el Ministerio de Salud y dispuestos para la venta</w:t>
      </w:r>
      <w:r w:rsidR="00873CF0" w:rsidRPr="00A661AE">
        <w:rPr>
          <w:rFonts w:ascii="Times New Roman" w:hAnsi="Times New Roman" w:cs="Times New Roman"/>
          <w:sz w:val="24"/>
          <w:szCs w:val="24"/>
        </w:rPr>
        <w:t xml:space="preserve"> al consumidor final</w:t>
      </w:r>
      <w:bookmarkEnd w:id="1"/>
      <w:r w:rsidRPr="00A661AE">
        <w:rPr>
          <w:rFonts w:ascii="Times New Roman" w:hAnsi="Times New Roman" w:cs="Times New Roman"/>
          <w:sz w:val="24"/>
          <w:szCs w:val="24"/>
        </w:rPr>
        <w:t>, tanto con receta como de libre venta, en los dos eslabones de la cadena de valor: droguería y farmacias. El margen máximo se fijará por grupo terapéutico según las siguientes tablas:</w:t>
      </w:r>
    </w:p>
    <w:p w14:paraId="4EF4EA84" w14:textId="77777777" w:rsidR="0084017C" w:rsidRPr="00A661AE" w:rsidRDefault="0084017C" w:rsidP="002518E4">
      <w:pPr>
        <w:spacing w:after="0" w:line="240" w:lineRule="auto"/>
        <w:jc w:val="both"/>
        <w:rPr>
          <w:rFonts w:ascii="Times New Roman" w:hAnsi="Times New Roman" w:cs="Times New Roman"/>
          <w:sz w:val="24"/>
          <w:szCs w:val="24"/>
        </w:rPr>
      </w:pPr>
    </w:p>
    <w:p w14:paraId="78D439C8" w14:textId="7234F717" w:rsidR="009736CD" w:rsidRPr="00A661AE" w:rsidRDefault="009736CD" w:rsidP="002518E4">
      <w:pPr>
        <w:spacing w:after="0" w:line="240" w:lineRule="auto"/>
        <w:jc w:val="center"/>
        <w:rPr>
          <w:rFonts w:ascii="Times New Roman" w:hAnsi="Times New Roman" w:cs="Times New Roman"/>
          <w:sz w:val="24"/>
          <w:szCs w:val="24"/>
        </w:rPr>
      </w:pPr>
      <w:r w:rsidRPr="00A661AE">
        <w:rPr>
          <w:rFonts w:ascii="Times New Roman" w:hAnsi="Times New Roman" w:cs="Times New Roman"/>
          <w:b/>
          <w:bCs/>
          <w:sz w:val="24"/>
          <w:szCs w:val="24"/>
        </w:rPr>
        <w:t>Tabla 1</w:t>
      </w:r>
      <w:r w:rsidRPr="00A661AE">
        <w:rPr>
          <w:rFonts w:ascii="Times New Roman" w:hAnsi="Times New Roman" w:cs="Times New Roman"/>
          <w:sz w:val="24"/>
          <w:szCs w:val="24"/>
        </w:rPr>
        <w:t xml:space="preserve">. </w:t>
      </w:r>
      <w:r w:rsidRPr="0084017C">
        <w:rPr>
          <w:rFonts w:ascii="Times New Roman" w:hAnsi="Times New Roman" w:cs="Times New Roman"/>
          <w:b/>
          <w:bCs/>
          <w:sz w:val="24"/>
          <w:szCs w:val="24"/>
        </w:rPr>
        <w:t xml:space="preserve">Margen Máximo de Comercialización para los medicamentos por grupo terapéutico a nivel de </w:t>
      </w:r>
      <w:r w:rsidR="00350125">
        <w:rPr>
          <w:rFonts w:ascii="Times New Roman" w:hAnsi="Times New Roman" w:cs="Times New Roman"/>
          <w:b/>
          <w:bCs/>
          <w:sz w:val="24"/>
          <w:szCs w:val="24"/>
        </w:rPr>
        <w:t xml:space="preserve">mayorista </w:t>
      </w:r>
    </w:p>
    <w:tbl>
      <w:tblPr>
        <w:tblW w:w="9464" w:type="dxa"/>
        <w:tblCellMar>
          <w:left w:w="70" w:type="dxa"/>
          <w:right w:w="70" w:type="dxa"/>
        </w:tblCellMar>
        <w:tblLook w:val="04A0" w:firstRow="1" w:lastRow="0" w:firstColumn="1" w:lastColumn="0" w:noHBand="0" w:noVBand="1"/>
      </w:tblPr>
      <w:tblGrid>
        <w:gridCol w:w="6292"/>
        <w:gridCol w:w="1586"/>
        <w:gridCol w:w="1586"/>
      </w:tblGrid>
      <w:tr w:rsidR="00EC4B63" w:rsidRPr="00A661AE" w14:paraId="6E5F7A85" w14:textId="77777777" w:rsidTr="003E6516">
        <w:trPr>
          <w:trHeight w:val="871"/>
        </w:trPr>
        <w:tc>
          <w:tcPr>
            <w:tcW w:w="6292" w:type="dxa"/>
            <w:tcBorders>
              <w:top w:val="single" w:sz="4" w:space="0" w:color="auto"/>
              <w:left w:val="nil"/>
              <w:bottom w:val="single" w:sz="4" w:space="0" w:color="auto"/>
              <w:right w:val="nil"/>
            </w:tcBorders>
            <w:shd w:val="clear" w:color="auto" w:fill="auto"/>
            <w:vAlign w:val="center"/>
            <w:hideMark/>
          </w:tcPr>
          <w:p w14:paraId="58CE03DA" w14:textId="7EB0FD1C" w:rsidR="00EC4B63" w:rsidRPr="00A661AE" w:rsidRDefault="00EC4B63" w:rsidP="002518E4">
            <w:pPr>
              <w:spacing w:after="0" w:line="240" w:lineRule="auto"/>
              <w:rPr>
                <w:rFonts w:ascii="Times New Roman" w:eastAsia="Times New Roman" w:hAnsi="Times New Roman" w:cs="Times New Roman"/>
                <w:b/>
                <w:bCs/>
                <w:color w:val="000000"/>
                <w:sz w:val="24"/>
                <w:szCs w:val="24"/>
                <w:lang w:eastAsia="es-CR"/>
              </w:rPr>
            </w:pPr>
            <w:r w:rsidRPr="00A661AE">
              <w:rPr>
                <w:rFonts w:ascii="Times New Roman" w:eastAsia="Times New Roman" w:hAnsi="Times New Roman" w:cs="Times New Roman"/>
                <w:b/>
                <w:bCs/>
                <w:color w:val="000000"/>
                <w:sz w:val="24"/>
                <w:szCs w:val="24"/>
                <w:lang w:eastAsia="es-CR"/>
              </w:rPr>
              <w:t>Grupo Terapéutico</w:t>
            </w:r>
          </w:p>
        </w:tc>
        <w:tc>
          <w:tcPr>
            <w:tcW w:w="1586" w:type="dxa"/>
            <w:tcBorders>
              <w:top w:val="single" w:sz="4" w:space="0" w:color="auto"/>
              <w:left w:val="nil"/>
              <w:bottom w:val="single" w:sz="4" w:space="0" w:color="auto"/>
              <w:right w:val="nil"/>
            </w:tcBorders>
            <w:vAlign w:val="center"/>
          </w:tcPr>
          <w:p w14:paraId="5F7FB457" w14:textId="1C1C1FC2" w:rsidR="00EC4B63" w:rsidRPr="00A661AE" w:rsidRDefault="00EC4B63" w:rsidP="00EC4B63">
            <w:pPr>
              <w:spacing w:after="0" w:line="240" w:lineRule="auto"/>
              <w:jc w:val="center"/>
              <w:rPr>
                <w:rFonts w:ascii="Times New Roman" w:eastAsia="Times New Roman" w:hAnsi="Times New Roman" w:cs="Times New Roman"/>
                <w:b/>
                <w:bCs/>
                <w:color w:val="000000"/>
                <w:sz w:val="24"/>
                <w:szCs w:val="24"/>
                <w:lang w:eastAsia="es-CR"/>
              </w:rPr>
            </w:pPr>
            <w:r>
              <w:rPr>
                <w:rFonts w:ascii="Times New Roman" w:eastAsia="Times New Roman" w:hAnsi="Times New Roman" w:cs="Times New Roman"/>
                <w:b/>
                <w:bCs/>
                <w:color w:val="000000"/>
                <w:sz w:val="24"/>
                <w:szCs w:val="24"/>
                <w:lang w:eastAsia="es-CR"/>
              </w:rPr>
              <w:t>Código ATC</w:t>
            </w:r>
          </w:p>
        </w:tc>
        <w:tc>
          <w:tcPr>
            <w:tcW w:w="1586" w:type="dxa"/>
            <w:tcBorders>
              <w:top w:val="single" w:sz="4" w:space="0" w:color="auto"/>
              <w:left w:val="nil"/>
              <w:bottom w:val="single" w:sz="4" w:space="0" w:color="auto"/>
              <w:right w:val="nil"/>
            </w:tcBorders>
            <w:shd w:val="clear" w:color="auto" w:fill="auto"/>
            <w:vAlign w:val="center"/>
            <w:hideMark/>
          </w:tcPr>
          <w:p w14:paraId="72769883" w14:textId="47D55DE3" w:rsidR="00EC4B63" w:rsidRPr="00A661AE" w:rsidRDefault="00EC4B63" w:rsidP="002518E4">
            <w:pPr>
              <w:spacing w:after="0" w:line="240" w:lineRule="auto"/>
              <w:jc w:val="center"/>
              <w:rPr>
                <w:rFonts w:ascii="Times New Roman" w:eastAsia="Times New Roman" w:hAnsi="Times New Roman" w:cs="Times New Roman"/>
                <w:b/>
                <w:bCs/>
                <w:color w:val="000000"/>
                <w:sz w:val="24"/>
                <w:szCs w:val="24"/>
                <w:lang w:eastAsia="es-CR"/>
              </w:rPr>
            </w:pPr>
            <w:r w:rsidRPr="00A661AE">
              <w:rPr>
                <w:rFonts w:ascii="Times New Roman" w:eastAsia="Times New Roman" w:hAnsi="Times New Roman" w:cs="Times New Roman"/>
                <w:b/>
                <w:bCs/>
                <w:color w:val="000000"/>
                <w:sz w:val="24"/>
                <w:szCs w:val="24"/>
                <w:lang w:eastAsia="es-CR"/>
              </w:rPr>
              <w:t>Margen máximo (%)</w:t>
            </w:r>
          </w:p>
        </w:tc>
      </w:tr>
      <w:tr w:rsidR="00EC4B63" w:rsidRPr="00A661AE" w14:paraId="60503097" w14:textId="77777777" w:rsidTr="003E6516">
        <w:trPr>
          <w:trHeight w:val="289"/>
        </w:trPr>
        <w:tc>
          <w:tcPr>
            <w:tcW w:w="6292" w:type="dxa"/>
            <w:tcBorders>
              <w:top w:val="single" w:sz="4" w:space="0" w:color="auto"/>
              <w:left w:val="nil"/>
              <w:bottom w:val="nil"/>
              <w:right w:val="nil"/>
            </w:tcBorders>
            <w:shd w:val="clear" w:color="auto" w:fill="auto"/>
            <w:noWrap/>
            <w:vAlign w:val="bottom"/>
            <w:hideMark/>
          </w:tcPr>
          <w:p w14:paraId="1EF14428"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Agentes que actúan sobre el sistema renina-angiotensina</w:t>
            </w:r>
          </w:p>
        </w:tc>
        <w:tc>
          <w:tcPr>
            <w:tcW w:w="1586" w:type="dxa"/>
            <w:tcBorders>
              <w:top w:val="single" w:sz="4" w:space="0" w:color="auto"/>
              <w:left w:val="nil"/>
              <w:bottom w:val="nil"/>
              <w:right w:val="nil"/>
            </w:tcBorders>
          </w:tcPr>
          <w:p w14:paraId="5CA17817" w14:textId="419765F8"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EC4B63">
              <w:rPr>
                <w:rFonts w:ascii="Times New Roman" w:eastAsia="Times New Roman" w:hAnsi="Times New Roman" w:cs="Times New Roman"/>
                <w:color w:val="000000"/>
                <w:sz w:val="24"/>
                <w:szCs w:val="24"/>
                <w:lang w:eastAsia="es-CR"/>
              </w:rPr>
              <w:t>C09</w:t>
            </w:r>
          </w:p>
        </w:tc>
        <w:tc>
          <w:tcPr>
            <w:tcW w:w="1586" w:type="dxa"/>
            <w:tcBorders>
              <w:top w:val="single" w:sz="4" w:space="0" w:color="auto"/>
              <w:left w:val="nil"/>
              <w:bottom w:val="nil"/>
              <w:right w:val="nil"/>
            </w:tcBorders>
            <w:shd w:val="clear" w:color="000000" w:fill="FFFFFF"/>
            <w:noWrap/>
            <w:vAlign w:val="center"/>
            <w:hideMark/>
          </w:tcPr>
          <w:p w14:paraId="28D0761E" w14:textId="41365681"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18,0</w:t>
            </w:r>
          </w:p>
        </w:tc>
      </w:tr>
      <w:tr w:rsidR="00EC4B63" w:rsidRPr="00A661AE" w14:paraId="4DD744BD" w14:textId="77777777" w:rsidTr="003E6516">
        <w:trPr>
          <w:trHeight w:val="289"/>
        </w:trPr>
        <w:tc>
          <w:tcPr>
            <w:tcW w:w="6292" w:type="dxa"/>
            <w:tcBorders>
              <w:top w:val="nil"/>
              <w:left w:val="nil"/>
              <w:bottom w:val="nil"/>
              <w:right w:val="nil"/>
            </w:tcBorders>
            <w:shd w:val="clear" w:color="auto" w:fill="auto"/>
            <w:noWrap/>
            <w:vAlign w:val="bottom"/>
            <w:hideMark/>
          </w:tcPr>
          <w:p w14:paraId="7F650CEF"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Analgésicos</w:t>
            </w:r>
          </w:p>
        </w:tc>
        <w:tc>
          <w:tcPr>
            <w:tcW w:w="1586" w:type="dxa"/>
            <w:tcBorders>
              <w:top w:val="nil"/>
              <w:left w:val="nil"/>
              <w:bottom w:val="nil"/>
              <w:right w:val="nil"/>
            </w:tcBorders>
          </w:tcPr>
          <w:p w14:paraId="55EEA995" w14:textId="1724BA32"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EC4B63">
              <w:rPr>
                <w:rFonts w:ascii="Times New Roman" w:eastAsia="Times New Roman" w:hAnsi="Times New Roman" w:cs="Times New Roman"/>
                <w:color w:val="000000"/>
                <w:sz w:val="24"/>
                <w:szCs w:val="24"/>
                <w:lang w:eastAsia="es-CR"/>
              </w:rPr>
              <w:t>N02</w:t>
            </w:r>
          </w:p>
        </w:tc>
        <w:tc>
          <w:tcPr>
            <w:tcW w:w="1586" w:type="dxa"/>
            <w:tcBorders>
              <w:top w:val="nil"/>
              <w:left w:val="nil"/>
              <w:bottom w:val="nil"/>
              <w:right w:val="nil"/>
            </w:tcBorders>
            <w:shd w:val="clear" w:color="000000" w:fill="FFFFFF"/>
            <w:noWrap/>
            <w:vAlign w:val="center"/>
            <w:hideMark/>
          </w:tcPr>
          <w:p w14:paraId="62AE253B" w14:textId="3988F368"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16,5</w:t>
            </w:r>
          </w:p>
        </w:tc>
      </w:tr>
      <w:tr w:rsidR="00EC4B63" w:rsidRPr="00A661AE" w14:paraId="62F9B43D" w14:textId="77777777" w:rsidTr="003E6516">
        <w:trPr>
          <w:trHeight w:val="289"/>
        </w:trPr>
        <w:tc>
          <w:tcPr>
            <w:tcW w:w="6292" w:type="dxa"/>
            <w:tcBorders>
              <w:top w:val="nil"/>
              <w:left w:val="nil"/>
              <w:bottom w:val="nil"/>
              <w:right w:val="nil"/>
            </w:tcBorders>
            <w:shd w:val="clear" w:color="auto" w:fill="auto"/>
            <w:noWrap/>
            <w:vAlign w:val="bottom"/>
            <w:hideMark/>
          </w:tcPr>
          <w:p w14:paraId="5674ED9C"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Preparaciones antiacné</w:t>
            </w:r>
          </w:p>
        </w:tc>
        <w:tc>
          <w:tcPr>
            <w:tcW w:w="1586" w:type="dxa"/>
            <w:tcBorders>
              <w:top w:val="nil"/>
              <w:left w:val="nil"/>
              <w:bottom w:val="nil"/>
              <w:right w:val="nil"/>
            </w:tcBorders>
          </w:tcPr>
          <w:p w14:paraId="72DA59BC" w14:textId="2CF26EC3"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EC4B63">
              <w:rPr>
                <w:rFonts w:ascii="Times New Roman" w:eastAsia="Times New Roman" w:hAnsi="Times New Roman" w:cs="Times New Roman"/>
                <w:color w:val="000000"/>
                <w:sz w:val="24"/>
                <w:szCs w:val="24"/>
                <w:lang w:eastAsia="es-CR"/>
              </w:rPr>
              <w:t>D10</w:t>
            </w:r>
          </w:p>
        </w:tc>
        <w:tc>
          <w:tcPr>
            <w:tcW w:w="1586" w:type="dxa"/>
            <w:tcBorders>
              <w:top w:val="nil"/>
              <w:left w:val="nil"/>
              <w:bottom w:val="nil"/>
              <w:right w:val="nil"/>
            </w:tcBorders>
            <w:shd w:val="clear" w:color="000000" w:fill="FFFFFF"/>
            <w:noWrap/>
            <w:vAlign w:val="center"/>
            <w:hideMark/>
          </w:tcPr>
          <w:p w14:paraId="5ECC698A" w14:textId="3FEC99F0"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18,5</w:t>
            </w:r>
          </w:p>
        </w:tc>
      </w:tr>
      <w:tr w:rsidR="00EC4B63" w:rsidRPr="00A661AE" w14:paraId="51558822" w14:textId="77777777" w:rsidTr="003E6516">
        <w:trPr>
          <w:trHeight w:val="289"/>
        </w:trPr>
        <w:tc>
          <w:tcPr>
            <w:tcW w:w="6292" w:type="dxa"/>
            <w:tcBorders>
              <w:top w:val="nil"/>
              <w:left w:val="nil"/>
              <w:bottom w:val="nil"/>
              <w:right w:val="nil"/>
            </w:tcBorders>
            <w:shd w:val="clear" w:color="auto" w:fill="auto"/>
            <w:noWrap/>
            <w:vAlign w:val="bottom"/>
            <w:hideMark/>
          </w:tcPr>
          <w:p w14:paraId="20847196"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Preparaciones </w:t>
            </w:r>
            <w:proofErr w:type="spellStart"/>
            <w:r w:rsidRPr="00A661AE">
              <w:rPr>
                <w:rFonts w:ascii="Times New Roman" w:eastAsia="Times New Roman" w:hAnsi="Times New Roman" w:cs="Times New Roman"/>
                <w:color w:val="000000"/>
                <w:sz w:val="24"/>
                <w:szCs w:val="24"/>
                <w:lang w:eastAsia="es-CR"/>
              </w:rPr>
              <w:t>antianémicas</w:t>
            </w:r>
            <w:proofErr w:type="spellEnd"/>
          </w:p>
        </w:tc>
        <w:tc>
          <w:tcPr>
            <w:tcW w:w="1586" w:type="dxa"/>
            <w:tcBorders>
              <w:top w:val="nil"/>
              <w:left w:val="nil"/>
              <w:bottom w:val="nil"/>
              <w:right w:val="nil"/>
            </w:tcBorders>
          </w:tcPr>
          <w:p w14:paraId="5DBEFD73" w14:textId="5BAEE788"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EC4B63">
              <w:rPr>
                <w:rFonts w:ascii="Times New Roman" w:eastAsia="Times New Roman" w:hAnsi="Times New Roman" w:cs="Times New Roman"/>
                <w:color w:val="000000"/>
                <w:sz w:val="24"/>
                <w:szCs w:val="24"/>
                <w:lang w:eastAsia="es-CR"/>
              </w:rPr>
              <w:t>B03</w:t>
            </w:r>
          </w:p>
        </w:tc>
        <w:tc>
          <w:tcPr>
            <w:tcW w:w="1586" w:type="dxa"/>
            <w:tcBorders>
              <w:top w:val="nil"/>
              <w:left w:val="nil"/>
              <w:bottom w:val="nil"/>
              <w:right w:val="nil"/>
            </w:tcBorders>
            <w:shd w:val="clear" w:color="000000" w:fill="FFFFFF"/>
            <w:noWrap/>
            <w:vAlign w:val="center"/>
            <w:hideMark/>
          </w:tcPr>
          <w:p w14:paraId="140650C6" w14:textId="3DB1816D"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11,0</w:t>
            </w:r>
          </w:p>
        </w:tc>
      </w:tr>
      <w:tr w:rsidR="00EC4B63" w:rsidRPr="00A661AE" w14:paraId="1EF90B8C" w14:textId="77777777" w:rsidTr="003E6516">
        <w:trPr>
          <w:trHeight w:val="289"/>
        </w:trPr>
        <w:tc>
          <w:tcPr>
            <w:tcW w:w="6292" w:type="dxa"/>
            <w:tcBorders>
              <w:top w:val="nil"/>
              <w:left w:val="nil"/>
              <w:bottom w:val="nil"/>
              <w:right w:val="nil"/>
            </w:tcBorders>
            <w:shd w:val="clear" w:color="auto" w:fill="auto"/>
            <w:noWrap/>
            <w:vAlign w:val="bottom"/>
            <w:hideMark/>
          </w:tcPr>
          <w:p w14:paraId="59544FC6"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Antibacterianos para uso sistémico</w:t>
            </w:r>
          </w:p>
        </w:tc>
        <w:tc>
          <w:tcPr>
            <w:tcW w:w="1586" w:type="dxa"/>
            <w:tcBorders>
              <w:top w:val="nil"/>
              <w:left w:val="nil"/>
              <w:bottom w:val="nil"/>
              <w:right w:val="nil"/>
            </w:tcBorders>
          </w:tcPr>
          <w:p w14:paraId="4D9146AE" w14:textId="61EA60FA"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EC4B63">
              <w:rPr>
                <w:rFonts w:ascii="Times New Roman" w:eastAsia="Times New Roman" w:hAnsi="Times New Roman" w:cs="Times New Roman"/>
                <w:color w:val="000000"/>
                <w:sz w:val="24"/>
                <w:szCs w:val="24"/>
                <w:lang w:eastAsia="es-CR"/>
              </w:rPr>
              <w:t>J01</w:t>
            </w:r>
          </w:p>
        </w:tc>
        <w:tc>
          <w:tcPr>
            <w:tcW w:w="1586" w:type="dxa"/>
            <w:tcBorders>
              <w:top w:val="nil"/>
              <w:left w:val="nil"/>
              <w:bottom w:val="nil"/>
              <w:right w:val="nil"/>
            </w:tcBorders>
            <w:shd w:val="clear" w:color="000000" w:fill="FFFFFF"/>
            <w:noWrap/>
            <w:vAlign w:val="center"/>
            <w:hideMark/>
          </w:tcPr>
          <w:p w14:paraId="12854D74" w14:textId="030E103B"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19,0</w:t>
            </w:r>
          </w:p>
        </w:tc>
      </w:tr>
      <w:tr w:rsidR="00EC4B63" w:rsidRPr="00A661AE" w14:paraId="71771C5F" w14:textId="77777777" w:rsidTr="003E6516">
        <w:trPr>
          <w:trHeight w:val="289"/>
        </w:trPr>
        <w:tc>
          <w:tcPr>
            <w:tcW w:w="6292" w:type="dxa"/>
            <w:tcBorders>
              <w:top w:val="nil"/>
              <w:left w:val="nil"/>
              <w:bottom w:val="nil"/>
              <w:right w:val="nil"/>
            </w:tcBorders>
            <w:shd w:val="clear" w:color="auto" w:fill="auto"/>
            <w:noWrap/>
            <w:vAlign w:val="bottom"/>
            <w:hideMark/>
          </w:tcPr>
          <w:p w14:paraId="533CBA5F"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Antibióticos y quimioterapéuticos para uso dermatológico</w:t>
            </w:r>
          </w:p>
        </w:tc>
        <w:tc>
          <w:tcPr>
            <w:tcW w:w="1586" w:type="dxa"/>
            <w:tcBorders>
              <w:top w:val="nil"/>
              <w:left w:val="nil"/>
              <w:bottom w:val="nil"/>
              <w:right w:val="nil"/>
            </w:tcBorders>
          </w:tcPr>
          <w:p w14:paraId="1FA65B57" w14:textId="0EFAFB10" w:rsidR="00EC4B63" w:rsidRPr="00A661AE" w:rsidRDefault="00841609" w:rsidP="002518E4">
            <w:pPr>
              <w:spacing w:after="0" w:line="240" w:lineRule="auto"/>
              <w:jc w:val="center"/>
              <w:rPr>
                <w:rFonts w:ascii="Times New Roman" w:eastAsia="Times New Roman" w:hAnsi="Times New Roman" w:cs="Times New Roman"/>
                <w:color w:val="000000"/>
                <w:sz w:val="24"/>
                <w:szCs w:val="24"/>
                <w:lang w:eastAsia="es-CR"/>
              </w:rPr>
            </w:pPr>
            <w:r w:rsidRPr="00841609">
              <w:rPr>
                <w:rFonts w:ascii="Times New Roman" w:eastAsia="Times New Roman" w:hAnsi="Times New Roman" w:cs="Times New Roman"/>
                <w:color w:val="000000"/>
                <w:sz w:val="24"/>
                <w:szCs w:val="24"/>
                <w:lang w:eastAsia="es-CR"/>
              </w:rPr>
              <w:t>D06</w:t>
            </w:r>
          </w:p>
        </w:tc>
        <w:tc>
          <w:tcPr>
            <w:tcW w:w="1586" w:type="dxa"/>
            <w:tcBorders>
              <w:top w:val="nil"/>
              <w:left w:val="nil"/>
              <w:bottom w:val="nil"/>
              <w:right w:val="nil"/>
            </w:tcBorders>
            <w:shd w:val="clear" w:color="000000" w:fill="FFFFFF"/>
            <w:noWrap/>
            <w:vAlign w:val="center"/>
            <w:hideMark/>
          </w:tcPr>
          <w:p w14:paraId="5BC6B769" w14:textId="5951513C"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18,0</w:t>
            </w:r>
          </w:p>
        </w:tc>
      </w:tr>
      <w:tr w:rsidR="00EC4B63" w:rsidRPr="00A661AE" w14:paraId="57CECF15" w14:textId="77777777" w:rsidTr="003E6516">
        <w:trPr>
          <w:trHeight w:val="289"/>
        </w:trPr>
        <w:tc>
          <w:tcPr>
            <w:tcW w:w="6292" w:type="dxa"/>
            <w:tcBorders>
              <w:top w:val="nil"/>
              <w:left w:val="nil"/>
              <w:bottom w:val="nil"/>
              <w:right w:val="nil"/>
            </w:tcBorders>
            <w:shd w:val="clear" w:color="auto" w:fill="auto"/>
            <w:noWrap/>
            <w:vAlign w:val="bottom"/>
            <w:hideMark/>
          </w:tcPr>
          <w:p w14:paraId="01885191"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Antidiarreicos, agentes intestinales antiinflamatorios/antiinfecciosos</w:t>
            </w:r>
          </w:p>
        </w:tc>
        <w:tc>
          <w:tcPr>
            <w:tcW w:w="1586" w:type="dxa"/>
            <w:tcBorders>
              <w:top w:val="nil"/>
              <w:left w:val="nil"/>
              <w:bottom w:val="nil"/>
              <w:right w:val="nil"/>
            </w:tcBorders>
          </w:tcPr>
          <w:p w14:paraId="5A011CB9" w14:textId="708F536C" w:rsidR="00EC4B63" w:rsidRPr="00A661AE" w:rsidRDefault="00841609" w:rsidP="002518E4">
            <w:pPr>
              <w:spacing w:after="0" w:line="240" w:lineRule="auto"/>
              <w:jc w:val="center"/>
              <w:rPr>
                <w:rFonts w:ascii="Times New Roman" w:eastAsia="Times New Roman" w:hAnsi="Times New Roman" w:cs="Times New Roman"/>
                <w:color w:val="000000"/>
                <w:sz w:val="24"/>
                <w:szCs w:val="24"/>
                <w:lang w:eastAsia="es-CR"/>
              </w:rPr>
            </w:pPr>
            <w:r w:rsidRPr="00841609">
              <w:rPr>
                <w:rFonts w:ascii="Times New Roman" w:eastAsia="Times New Roman" w:hAnsi="Times New Roman" w:cs="Times New Roman"/>
                <w:color w:val="000000"/>
                <w:sz w:val="24"/>
                <w:szCs w:val="24"/>
                <w:lang w:eastAsia="es-CR"/>
              </w:rPr>
              <w:t>A07</w:t>
            </w:r>
          </w:p>
        </w:tc>
        <w:tc>
          <w:tcPr>
            <w:tcW w:w="1586" w:type="dxa"/>
            <w:tcBorders>
              <w:top w:val="nil"/>
              <w:left w:val="nil"/>
              <w:bottom w:val="nil"/>
              <w:right w:val="nil"/>
            </w:tcBorders>
            <w:shd w:val="clear" w:color="000000" w:fill="FFFFFF"/>
            <w:noWrap/>
            <w:vAlign w:val="center"/>
            <w:hideMark/>
          </w:tcPr>
          <w:p w14:paraId="65ADCE43" w14:textId="4C0AEBB3"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17,5</w:t>
            </w:r>
          </w:p>
        </w:tc>
      </w:tr>
      <w:tr w:rsidR="00EC4B63" w:rsidRPr="00A661AE" w14:paraId="2AD58058" w14:textId="77777777" w:rsidTr="003E6516">
        <w:trPr>
          <w:trHeight w:val="289"/>
        </w:trPr>
        <w:tc>
          <w:tcPr>
            <w:tcW w:w="6292" w:type="dxa"/>
            <w:tcBorders>
              <w:top w:val="nil"/>
              <w:left w:val="nil"/>
              <w:bottom w:val="nil"/>
              <w:right w:val="nil"/>
            </w:tcBorders>
            <w:shd w:val="clear" w:color="auto" w:fill="auto"/>
            <w:noWrap/>
            <w:vAlign w:val="bottom"/>
            <w:hideMark/>
          </w:tcPr>
          <w:p w14:paraId="33EB4FC4"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Antieméticos y </w:t>
            </w:r>
            <w:proofErr w:type="spellStart"/>
            <w:r w:rsidRPr="00A661AE">
              <w:rPr>
                <w:rFonts w:ascii="Times New Roman" w:eastAsia="Times New Roman" w:hAnsi="Times New Roman" w:cs="Times New Roman"/>
                <w:color w:val="000000"/>
                <w:sz w:val="24"/>
                <w:szCs w:val="24"/>
                <w:lang w:eastAsia="es-CR"/>
              </w:rPr>
              <w:t>antinauseosos</w:t>
            </w:r>
            <w:proofErr w:type="spellEnd"/>
          </w:p>
        </w:tc>
        <w:tc>
          <w:tcPr>
            <w:tcW w:w="1586" w:type="dxa"/>
            <w:tcBorders>
              <w:top w:val="nil"/>
              <w:left w:val="nil"/>
              <w:bottom w:val="nil"/>
              <w:right w:val="nil"/>
            </w:tcBorders>
          </w:tcPr>
          <w:p w14:paraId="62EED593" w14:textId="124A4DFA" w:rsidR="00EC4B63" w:rsidRPr="00A661AE" w:rsidRDefault="00841609" w:rsidP="002518E4">
            <w:pPr>
              <w:spacing w:after="0" w:line="240" w:lineRule="auto"/>
              <w:jc w:val="center"/>
              <w:rPr>
                <w:rFonts w:ascii="Times New Roman" w:eastAsia="Times New Roman" w:hAnsi="Times New Roman" w:cs="Times New Roman"/>
                <w:color w:val="000000"/>
                <w:sz w:val="24"/>
                <w:szCs w:val="24"/>
                <w:lang w:eastAsia="es-CR"/>
              </w:rPr>
            </w:pPr>
            <w:r w:rsidRPr="00841609">
              <w:rPr>
                <w:rFonts w:ascii="Times New Roman" w:eastAsia="Times New Roman" w:hAnsi="Times New Roman" w:cs="Times New Roman"/>
                <w:color w:val="000000"/>
                <w:sz w:val="24"/>
                <w:szCs w:val="24"/>
                <w:lang w:eastAsia="es-CR"/>
              </w:rPr>
              <w:t>A04</w:t>
            </w:r>
          </w:p>
        </w:tc>
        <w:tc>
          <w:tcPr>
            <w:tcW w:w="1586" w:type="dxa"/>
            <w:tcBorders>
              <w:top w:val="nil"/>
              <w:left w:val="nil"/>
              <w:bottom w:val="nil"/>
              <w:right w:val="nil"/>
            </w:tcBorders>
            <w:shd w:val="clear" w:color="000000" w:fill="FFFFFF"/>
            <w:noWrap/>
            <w:vAlign w:val="center"/>
            <w:hideMark/>
          </w:tcPr>
          <w:p w14:paraId="655FE4B2" w14:textId="77B7D838"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14,0</w:t>
            </w:r>
          </w:p>
        </w:tc>
      </w:tr>
      <w:tr w:rsidR="00EC4B63" w:rsidRPr="00A661AE" w14:paraId="00E9FE85" w14:textId="77777777" w:rsidTr="003E6516">
        <w:trPr>
          <w:trHeight w:val="289"/>
        </w:trPr>
        <w:tc>
          <w:tcPr>
            <w:tcW w:w="6292" w:type="dxa"/>
            <w:tcBorders>
              <w:top w:val="nil"/>
              <w:left w:val="nil"/>
              <w:bottom w:val="nil"/>
              <w:right w:val="nil"/>
            </w:tcBorders>
            <w:shd w:val="clear" w:color="auto" w:fill="auto"/>
            <w:noWrap/>
            <w:vAlign w:val="bottom"/>
            <w:hideMark/>
          </w:tcPr>
          <w:p w14:paraId="5BA97739"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Antiepilépticos</w:t>
            </w:r>
          </w:p>
        </w:tc>
        <w:tc>
          <w:tcPr>
            <w:tcW w:w="1586" w:type="dxa"/>
            <w:tcBorders>
              <w:top w:val="nil"/>
              <w:left w:val="nil"/>
              <w:bottom w:val="nil"/>
              <w:right w:val="nil"/>
            </w:tcBorders>
          </w:tcPr>
          <w:p w14:paraId="15185AB5" w14:textId="69A9DB9A" w:rsidR="00EC4B63" w:rsidRPr="00A661AE" w:rsidRDefault="00841609" w:rsidP="002518E4">
            <w:pPr>
              <w:spacing w:after="0" w:line="240" w:lineRule="auto"/>
              <w:jc w:val="center"/>
              <w:rPr>
                <w:rFonts w:ascii="Times New Roman" w:eastAsia="Times New Roman" w:hAnsi="Times New Roman" w:cs="Times New Roman"/>
                <w:color w:val="000000"/>
                <w:sz w:val="24"/>
                <w:szCs w:val="24"/>
                <w:lang w:eastAsia="es-CR"/>
              </w:rPr>
            </w:pPr>
            <w:r w:rsidRPr="00841609">
              <w:rPr>
                <w:rFonts w:ascii="Times New Roman" w:eastAsia="Times New Roman" w:hAnsi="Times New Roman" w:cs="Times New Roman"/>
                <w:color w:val="000000"/>
                <w:sz w:val="24"/>
                <w:szCs w:val="24"/>
                <w:lang w:eastAsia="es-CR"/>
              </w:rPr>
              <w:t>N03</w:t>
            </w:r>
          </w:p>
        </w:tc>
        <w:tc>
          <w:tcPr>
            <w:tcW w:w="1586" w:type="dxa"/>
            <w:tcBorders>
              <w:top w:val="nil"/>
              <w:left w:val="nil"/>
              <w:bottom w:val="nil"/>
              <w:right w:val="nil"/>
            </w:tcBorders>
            <w:shd w:val="clear" w:color="000000" w:fill="FFFFFF"/>
            <w:noWrap/>
            <w:vAlign w:val="center"/>
            <w:hideMark/>
          </w:tcPr>
          <w:p w14:paraId="0F4FBBF2" w14:textId="7F8464B4"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16,0</w:t>
            </w:r>
          </w:p>
        </w:tc>
      </w:tr>
      <w:tr w:rsidR="00EC4B63" w:rsidRPr="00A661AE" w14:paraId="5125C858" w14:textId="77777777" w:rsidTr="003E6516">
        <w:trPr>
          <w:trHeight w:val="289"/>
        </w:trPr>
        <w:tc>
          <w:tcPr>
            <w:tcW w:w="6292" w:type="dxa"/>
            <w:tcBorders>
              <w:top w:val="nil"/>
              <w:left w:val="nil"/>
              <w:bottom w:val="nil"/>
              <w:right w:val="nil"/>
            </w:tcBorders>
            <w:shd w:val="clear" w:color="auto" w:fill="auto"/>
            <w:noWrap/>
            <w:vAlign w:val="bottom"/>
            <w:hideMark/>
          </w:tcPr>
          <w:p w14:paraId="2BD5F25C"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Antihistamínicos para uso sistémico</w:t>
            </w:r>
          </w:p>
        </w:tc>
        <w:tc>
          <w:tcPr>
            <w:tcW w:w="1586" w:type="dxa"/>
            <w:tcBorders>
              <w:top w:val="nil"/>
              <w:left w:val="nil"/>
              <w:bottom w:val="nil"/>
              <w:right w:val="nil"/>
            </w:tcBorders>
          </w:tcPr>
          <w:p w14:paraId="15C2D3D4" w14:textId="2FAF8357" w:rsidR="00EC4B63" w:rsidRPr="00A661AE" w:rsidRDefault="00841609" w:rsidP="002518E4">
            <w:pPr>
              <w:spacing w:after="0" w:line="240" w:lineRule="auto"/>
              <w:jc w:val="center"/>
              <w:rPr>
                <w:rFonts w:ascii="Times New Roman" w:eastAsia="Times New Roman" w:hAnsi="Times New Roman" w:cs="Times New Roman"/>
                <w:color w:val="000000"/>
                <w:sz w:val="24"/>
                <w:szCs w:val="24"/>
                <w:lang w:eastAsia="es-CR"/>
              </w:rPr>
            </w:pPr>
            <w:r w:rsidRPr="00841609">
              <w:rPr>
                <w:rFonts w:ascii="Times New Roman" w:eastAsia="Times New Roman" w:hAnsi="Times New Roman" w:cs="Times New Roman"/>
                <w:color w:val="000000"/>
                <w:sz w:val="24"/>
                <w:szCs w:val="24"/>
                <w:lang w:eastAsia="es-CR"/>
              </w:rPr>
              <w:t>R06</w:t>
            </w:r>
          </w:p>
        </w:tc>
        <w:tc>
          <w:tcPr>
            <w:tcW w:w="1586" w:type="dxa"/>
            <w:tcBorders>
              <w:top w:val="nil"/>
              <w:left w:val="nil"/>
              <w:bottom w:val="nil"/>
              <w:right w:val="nil"/>
            </w:tcBorders>
            <w:shd w:val="clear" w:color="000000" w:fill="FFFFFF"/>
            <w:noWrap/>
            <w:vAlign w:val="center"/>
            <w:hideMark/>
          </w:tcPr>
          <w:p w14:paraId="49BF762F" w14:textId="625C9B68"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20,0</w:t>
            </w:r>
          </w:p>
        </w:tc>
      </w:tr>
      <w:tr w:rsidR="00EC4B63" w:rsidRPr="00A661AE" w14:paraId="03085BEE" w14:textId="77777777" w:rsidTr="003E6516">
        <w:trPr>
          <w:trHeight w:val="289"/>
        </w:trPr>
        <w:tc>
          <w:tcPr>
            <w:tcW w:w="6292" w:type="dxa"/>
            <w:tcBorders>
              <w:top w:val="nil"/>
              <w:left w:val="nil"/>
              <w:bottom w:val="nil"/>
              <w:right w:val="nil"/>
            </w:tcBorders>
            <w:shd w:val="clear" w:color="auto" w:fill="auto"/>
            <w:noWrap/>
            <w:vAlign w:val="bottom"/>
            <w:hideMark/>
          </w:tcPr>
          <w:p w14:paraId="3183C344"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Productos antiinflamatorios y antirreumáticos</w:t>
            </w:r>
          </w:p>
        </w:tc>
        <w:tc>
          <w:tcPr>
            <w:tcW w:w="1586" w:type="dxa"/>
            <w:tcBorders>
              <w:top w:val="nil"/>
              <w:left w:val="nil"/>
              <w:bottom w:val="nil"/>
              <w:right w:val="nil"/>
            </w:tcBorders>
          </w:tcPr>
          <w:p w14:paraId="6DEFA9C5" w14:textId="53CFC3F3"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M01</w:t>
            </w:r>
          </w:p>
        </w:tc>
        <w:tc>
          <w:tcPr>
            <w:tcW w:w="1586" w:type="dxa"/>
            <w:tcBorders>
              <w:top w:val="nil"/>
              <w:left w:val="nil"/>
              <w:bottom w:val="nil"/>
              <w:right w:val="nil"/>
            </w:tcBorders>
            <w:shd w:val="clear" w:color="000000" w:fill="FFFFFF"/>
            <w:noWrap/>
            <w:vAlign w:val="center"/>
            <w:hideMark/>
          </w:tcPr>
          <w:p w14:paraId="26E6E5BD" w14:textId="6E4526D5"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17,0</w:t>
            </w:r>
          </w:p>
        </w:tc>
      </w:tr>
      <w:tr w:rsidR="00EC4B63" w:rsidRPr="00A661AE" w14:paraId="39A091EC" w14:textId="77777777" w:rsidTr="003E6516">
        <w:trPr>
          <w:trHeight w:val="289"/>
        </w:trPr>
        <w:tc>
          <w:tcPr>
            <w:tcW w:w="6292" w:type="dxa"/>
            <w:tcBorders>
              <w:top w:val="nil"/>
              <w:left w:val="nil"/>
              <w:bottom w:val="nil"/>
              <w:right w:val="nil"/>
            </w:tcBorders>
            <w:shd w:val="clear" w:color="auto" w:fill="auto"/>
            <w:noWrap/>
            <w:vAlign w:val="bottom"/>
            <w:hideMark/>
          </w:tcPr>
          <w:p w14:paraId="72BB6BE3"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Antimicóticos para uso sistémico</w:t>
            </w:r>
          </w:p>
        </w:tc>
        <w:tc>
          <w:tcPr>
            <w:tcW w:w="1586" w:type="dxa"/>
            <w:tcBorders>
              <w:top w:val="nil"/>
              <w:left w:val="nil"/>
              <w:bottom w:val="nil"/>
              <w:right w:val="nil"/>
            </w:tcBorders>
          </w:tcPr>
          <w:p w14:paraId="1E31FD02" w14:textId="5DC487DB"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J02</w:t>
            </w:r>
          </w:p>
        </w:tc>
        <w:tc>
          <w:tcPr>
            <w:tcW w:w="1586" w:type="dxa"/>
            <w:tcBorders>
              <w:top w:val="nil"/>
              <w:left w:val="nil"/>
              <w:bottom w:val="nil"/>
              <w:right w:val="nil"/>
            </w:tcBorders>
            <w:shd w:val="clear" w:color="000000" w:fill="FFFFFF"/>
            <w:noWrap/>
            <w:vAlign w:val="center"/>
            <w:hideMark/>
          </w:tcPr>
          <w:p w14:paraId="1B26C6AD" w14:textId="1E50D617"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15,5</w:t>
            </w:r>
          </w:p>
        </w:tc>
      </w:tr>
      <w:tr w:rsidR="00EC4B63" w:rsidRPr="00A661AE" w14:paraId="3638E4F4" w14:textId="77777777" w:rsidTr="003E6516">
        <w:trPr>
          <w:trHeight w:val="289"/>
        </w:trPr>
        <w:tc>
          <w:tcPr>
            <w:tcW w:w="6292" w:type="dxa"/>
            <w:tcBorders>
              <w:top w:val="nil"/>
              <w:left w:val="nil"/>
              <w:bottom w:val="nil"/>
              <w:right w:val="nil"/>
            </w:tcBorders>
            <w:shd w:val="clear" w:color="auto" w:fill="auto"/>
            <w:noWrap/>
            <w:vAlign w:val="bottom"/>
            <w:hideMark/>
          </w:tcPr>
          <w:p w14:paraId="600AD19D"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Agentes antineoplásicos</w:t>
            </w:r>
          </w:p>
        </w:tc>
        <w:tc>
          <w:tcPr>
            <w:tcW w:w="1586" w:type="dxa"/>
            <w:tcBorders>
              <w:top w:val="nil"/>
              <w:left w:val="nil"/>
              <w:bottom w:val="nil"/>
              <w:right w:val="nil"/>
            </w:tcBorders>
          </w:tcPr>
          <w:p w14:paraId="418AAB60" w14:textId="77961B67"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L01</w:t>
            </w:r>
          </w:p>
        </w:tc>
        <w:tc>
          <w:tcPr>
            <w:tcW w:w="1586" w:type="dxa"/>
            <w:tcBorders>
              <w:top w:val="nil"/>
              <w:left w:val="nil"/>
              <w:bottom w:val="nil"/>
              <w:right w:val="nil"/>
            </w:tcBorders>
            <w:shd w:val="clear" w:color="000000" w:fill="FFFFFF"/>
            <w:noWrap/>
            <w:vAlign w:val="center"/>
            <w:hideMark/>
          </w:tcPr>
          <w:p w14:paraId="1A186DCC" w14:textId="7EC40898"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11,0</w:t>
            </w:r>
          </w:p>
        </w:tc>
      </w:tr>
      <w:tr w:rsidR="00EC4B63" w:rsidRPr="00A661AE" w14:paraId="692765C3" w14:textId="77777777" w:rsidTr="003E6516">
        <w:trPr>
          <w:trHeight w:val="289"/>
        </w:trPr>
        <w:tc>
          <w:tcPr>
            <w:tcW w:w="6292" w:type="dxa"/>
            <w:tcBorders>
              <w:top w:val="nil"/>
              <w:left w:val="nil"/>
              <w:bottom w:val="nil"/>
              <w:right w:val="nil"/>
            </w:tcBorders>
            <w:shd w:val="clear" w:color="auto" w:fill="auto"/>
            <w:noWrap/>
            <w:vAlign w:val="bottom"/>
            <w:hideMark/>
          </w:tcPr>
          <w:p w14:paraId="3FB4472C"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Preparaciones </w:t>
            </w:r>
            <w:proofErr w:type="spellStart"/>
            <w:r w:rsidRPr="00A661AE">
              <w:rPr>
                <w:rFonts w:ascii="Times New Roman" w:eastAsia="Times New Roman" w:hAnsi="Times New Roman" w:cs="Times New Roman"/>
                <w:color w:val="000000"/>
                <w:sz w:val="24"/>
                <w:szCs w:val="24"/>
                <w:lang w:eastAsia="es-CR"/>
              </w:rPr>
              <w:t>antiobesidad</w:t>
            </w:r>
            <w:proofErr w:type="spellEnd"/>
            <w:r w:rsidRPr="00A661AE">
              <w:rPr>
                <w:rFonts w:ascii="Times New Roman" w:eastAsia="Times New Roman" w:hAnsi="Times New Roman" w:cs="Times New Roman"/>
                <w:color w:val="000000"/>
                <w:sz w:val="24"/>
                <w:szCs w:val="24"/>
                <w:lang w:eastAsia="es-CR"/>
              </w:rPr>
              <w:t>, excluyendo productos dietéticos</w:t>
            </w:r>
          </w:p>
        </w:tc>
        <w:tc>
          <w:tcPr>
            <w:tcW w:w="1586" w:type="dxa"/>
            <w:tcBorders>
              <w:top w:val="nil"/>
              <w:left w:val="nil"/>
              <w:bottom w:val="nil"/>
              <w:right w:val="nil"/>
            </w:tcBorders>
          </w:tcPr>
          <w:p w14:paraId="69F78E71" w14:textId="1DDD6F3C"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A08</w:t>
            </w:r>
          </w:p>
        </w:tc>
        <w:tc>
          <w:tcPr>
            <w:tcW w:w="1586" w:type="dxa"/>
            <w:tcBorders>
              <w:top w:val="nil"/>
              <w:left w:val="nil"/>
              <w:bottom w:val="nil"/>
              <w:right w:val="nil"/>
            </w:tcBorders>
            <w:shd w:val="clear" w:color="000000" w:fill="FFFFFF"/>
            <w:noWrap/>
            <w:vAlign w:val="center"/>
            <w:hideMark/>
          </w:tcPr>
          <w:p w14:paraId="021B375C" w14:textId="7FDD5AF6"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17,5</w:t>
            </w:r>
          </w:p>
        </w:tc>
      </w:tr>
      <w:tr w:rsidR="00EC4B63" w:rsidRPr="00A661AE" w14:paraId="397EEA52" w14:textId="77777777" w:rsidTr="003E6516">
        <w:trPr>
          <w:trHeight w:val="289"/>
        </w:trPr>
        <w:tc>
          <w:tcPr>
            <w:tcW w:w="6292" w:type="dxa"/>
            <w:tcBorders>
              <w:top w:val="nil"/>
              <w:left w:val="nil"/>
              <w:bottom w:val="nil"/>
              <w:right w:val="nil"/>
            </w:tcBorders>
            <w:shd w:val="clear" w:color="auto" w:fill="auto"/>
            <w:noWrap/>
            <w:vAlign w:val="bottom"/>
            <w:hideMark/>
          </w:tcPr>
          <w:p w14:paraId="2777E387"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Agentes antitrombóticos</w:t>
            </w:r>
          </w:p>
        </w:tc>
        <w:tc>
          <w:tcPr>
            <w:tcW w:w="1586" w:type="dxa"/>
            <w:tcBorders>
              <w:top w:val="nil"/>
              <w:left w:val="nil"/>
              <w:bottom w:val="nil"/>
              <w:right w:val="nil"/>
            </w:tcBorders>
          </w:tcPr>
          <w:p w14:paraId="5000DC25" w14:textId="5037683B"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B01</w:t>
            </w:r>
          </w:p>
        </w:tc>
        <w:tc>
          <w:tcPr>
            <w:tcW w:w="1586" w:type="dxa"/>
            <w:tcBorders>
              <w:top w:val="nil"/>
              <w:left w:val="nil"/>
              <w:bottom w:val="nil"/>
              <w:right w:val="nil"/>
            </w:tcBorders>
            <w:shd w:val="clear" w:color="000000" w:fill="FFFFFF"/>
            <w:noWrap/>
            <w:vAlign w:val="center"/>
            <w:hideMark/>
          </w:tcPr>
          <w:p w14:paraId="3D607BEC" w14:textId="592087A6"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13,0</w:t>
            </w:r>
          </w:p>
        </w:tc>
      </w:tr>
      <w:tr w:rsidR="00EC4B63" w:rsidRPr="00A661AE" w14:paraId="2DDB3E9C" w14:textId="77777777" w:rsidTr="003E6516">
        <w:trPr>
          <w:trHeight w:val="289"/>
        </w:trPr>
        <w:tc>
          <w:tcPr>
            <w:tcW w:w="6292" w:type="dxa"/>
            <w:tcBorders>
              <w:top w:val="nil"/>
              <w:left w:val="nil"/>
              <w:bottom w:val="nil"/>
              <w:right w:val="nil"/>
            </w:tcBorders>
            <w:shd w:val="clear" w:color="auto" w:fill="auto"/>
            <w:noWrap/>
            <w:vAlign w:val="bottom"/>
            <w:hideMark/>
          </w:tcPr>
          <w:p w14:paraId="54F0209B"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Antivirales para uso sistémico</w:t>
            </w:r>
          </w:p>
        </w:tc>
        <w:tc>
          <w:tcPr>
            <w:tcW w:w="1586" w:type="dxa"/>
            <w:tcBorders>
              <w:top w:val="nil"/>
              <w:left w:val="nil"/>
              <w:bottom w:val="nil"/>
              <w:right w:val="nil"/>
            </w:tcBorders>
          </w:tcPr>
          <w:p w14:paraId="4607A45C" w14:textId="3AE10CD5"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J05</w:t>
            </w:r>
          </w:p>
        </w:tc>
        <w:tc>
          <w:tcPr>
            <w:tcW w:w="1586" w:type="dxa"/>
            <w:tcBorders>
              <w:top w:val="nil"/>
              <w:left w:val="nil"/>
              <w:bottom w:val="nil"/>
              <w:right w:val="nil"/>
            </w:tcBorders>
            <w:shd w:val="clear" w:color="000000" w:fill="FFFFFF"/>
            <w:noWrap/>
            <w:vAlign w:val="center"/>
            <w:hideMark/>
          </w:tcPr>
          <w:p w14:paraId="1B1FCBD4" w14:textId="4C0A6669"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17,5</w:t>
            </w:r>
          </w:p>
        </w:tc>
      </w:tr>
      <w:tr w:rsidR="00EC4B63" w:rsidRPr="00A661AE" w14:paraId="5CFB8453" w14:textId="77777777" w:rsidTr="003E6516">
        <w:trPr>
          <w:trHeight w:val="289"/>
        </w:trPr>
        <w:tc>
          <w:tcPr>
            <w:tcW w:w="6292" w:type="dxa"/>
            <w:tcBorders>
              <w:top w:val="nil"/>
              <w:left w:val="nil"/>
              <w:bottom w:val="nil"/>
              <w:right w:val="nil"/>
            </w:tcBorders>
            <w:shd w:val="clear" w:color="auto" w:fill="auto"/>
            <w:noWrap/>
            <w:vAlign w:val="bottom"/>
            <w:hideMark/>
          </w:tcPr>
          <w:p w14:paraId="4EFDC229"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Agentes bloqueadores beta</w:t>
            </w:r>
          </w:p>
        </w:tc>
        <w:tc>
          <w:tcPr>
            <w:tcW w:w="1586" w:type="dxa"/>
            <w:tcBorders>
              <w:top w:val="nil"/>
              <w:left w:val="nil"/>
              <w:bottom w:val="nil"/>
              <w:right w:val="nil"/>
            </w:tcBorders>
          </w:tcPr>
          <w:p w14:paraId="62496B2F" w14:textId="05365C74"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C07</w:t>
            </w:r>
          </w:p>
        </w:tc>
        <w:tc>
          <w:tcPr>
            <w:tcW w:w="1586" w:type="dxa"/>
            <w:tcBorders>
              <w:top w:val="nil"/>
              <w:left w:val="nil"/>
              <w:bottom w:val="nil"/>
              <w:right w:val="nil"/>
            </w:tcBorders>
            <w:shd w:val="clear" w:color="000000" w:fill="FFFFFF"/>
            <w:noWrap/>
            <w:vAlign w:val="center"/>
            <w:hideMark/>
          </w:tcPr>
          <w:p w14:paraId="780E706A" w14:textId="2E392B93"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17,5</w:t>
            </w:r>
          </w:p>
        </w:tc>
      </w:tr>
      <w:tr w:rsidR="00EC4B63" w:rsidRPr="00A661AE" w14:paraId="1AC18C1E" w14:textId="77777777" w:rsidTr="003E6516">
        <w:trPr>
          <w:trHeight w:val="289"/>
        </w:trPr>
        <w:tc>
          <w:tcPr>
            <w:tcW w:w="6292" w:type="dxa"/>
            <w:tcBorders>
              <w:top w:val="nil"/>
              <w:left w:val="nil"/>
              <w:bottom w:val="nil"/>
              <w:right w:val="nil"/>
            </w:tcBorders>
            <w:shd w:val="clear" w:color="auto" w:fill="auto"/>
            <w:noWrap/>
            <w:vAlign w:val="bottom"/>
            <w:hideMark/>
          </w:tcPr>
          <w:p w14:paraId="38103AB2"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Terapia cardíaca</w:t>
            </w:r>
          </w:p>
        </w:tc>
        <w:tc>
          <w:tcPr>
            <w:tcW w:w="1586" w:type="dxa"/>
            <w:tcBorders>
              <w:top w:val="nil"/>
              <w:left w:val="nil"/>
              <w:bottom w:val="nil"/>
              <w:right w:val="nil"/>
            </w:tcBorders>
          </w:tcPr>
          <w:p w14:paraId="1E2FC848" w14:textId="5C393983"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C01</w:t>
            </w:r>
          </w:p>
        </w:tc>
        <w:tc>
          <w:tcPr>
            <w:tcW w:w="1586" w:type="dxa"/>
            <w:tcBorders>
              <w:top w:val="nil"/>
              <w:left w:val="nil"/>
              <w:bottom w:val="nil"/>
              <w:right w:val="nil"/>
            </w:tcBorders>
            <w:shd w:val="clear" w:color="000000" w:fill="FFFFFF"/>
            <w:noWrap/>
            <w:vAlign w:val="center"/>
            <w:hideMark/>
          </w:tcPr>
          <w:p w14:paraId="61A890A2" w14:textId="35A1E089"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16,5</w:t>
            </w:r>
          </w:p>
        </w:tc>
      </w:tr>
      <w:tr w:rsidR="00EC4B63" w:rsidRPr="00A661AE" w14:paraId="60FC6145" w14:textId="77777777" w:rsidTr="003E6516">
        <w:trPr>
          <w:trHeight w:val="289"/>
        </w:trPr>
        <w:tc>
          <w:tcPr>
            <w:tcW w:w="6292" w:type="dxa"/>
            <w:tcBorders>
              <w:top w:val="nil"/>
              <w:left w:val="nil"/>
              <w:bottom w:val="nil"/>
              <w:right w:val="nil"/>
            </w:tcBorders>
            <w:shd w:val="clear" w:color="auto" w:fill="auto"/>
            <w:noWrap/>
            <w:vAlign w:val="bottom"/>
            <w:hideMark/>
          </w:tcPr>
          <w:p w14:paraId="0E2918A5"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Corticoesteroides para uso sistémico</w:t>
            </w:r>
          </w:p>
        </w:tc>
        <w:tc>
          <w:tcPr>
            <w:tcW w:w="1586" w:type="dxa"/>
            <w:tcBorders>
              <w:top w:val="nil"/>
              <w:left w:val="nil"/>
              <w:bottom w:val="nil"/>
              <w:right w:val="nil"/>
            </w:tcBorders>
          </w:tcPr>
          <w:p w14:paraId="21228CA1" w14:textId="1EACC25F"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H02</w:t>
            </w:r>
          </w:p>
        </w:tc>
        <w:tc>
          <w:tcPr>
            <w:tcW w:w="1586" w:type="dxa"/>
            <w:tcBorders>
              <w:top w:val="nil"/>
              <w:left w:val="nil"/>
              <w:bottom w:val="nil"/>
              <w:right w:val="nil"/>
            </w:tcBorders>
            <w:shd w:val="clear" w:color="000000" w:fill="FFFFFF"/>
            <w:noWrap/>
            <w:vAlign w:val="center"/>
            <w:hideMark/>
          </w:tcPr>
          <w:p w14:paraId="59A318D4" w14:textId="2A2323D6"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17,5</w:t>
            </w:r>
          </w:p>
        </w:tc>
      </w:tr>
      <w:tr w:rsidR="00EC4B63" w:rsidRPr="00A661AE" w14:paraId="03E69211" w14:textId="77777777" w:rsidTr="003E6516">
        <w:trPr>
          <w:trHeight w:val="289"/>
        </w:trPr>
        <w:tc>
          <w:tcPr>
            <w:tcW w:w="6292" w:type="dxa"/>
            <w:tcBorders>
              <w:top w:val="nil"/>
              <w:left w:val="nil"/>
              <w:bottom w:val="nil"/>
              <w:right w:val="nil"/>
            </w:tcBorders>
            <w:shd w:val="clear" w:color="auto" w:fill="auto"/>
            <w:noWrap/>
            <w:vAlign w:val="bottom"/>
            <w:hideMark/>
          </w:tcPr>
          <w:p w14:paraId="4D2C6F41"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Corticoesteroides, preparaciones dermatológicas</w:t>
            </w:r>
          </w:p>
        </w:tc>
        <w:tc>
          <w:tcPr>
            <w:tcW w:w="1586" w:type="dxa"/>
            <w:tcBorders>
              <w:top w:val="nil"/>
              <w:left w:val="nil"/>
              <w:bottom w:val="nil"/>
              <w:right w:val="nil"/>
            </w:tcBorders>
          </w:tcPr>
          <w:p w14:paraId="6BA202E5" w14:textId="55EEC7A1"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D07</w:t>
            </w:r>
          </w:p>
        </w:tc>
        <w:tc>
          <w:tcPr>
            <w:tcW w:w="1586" w:type="dxa"/>
            <w:tcBorders>
              <w:top w:val="nil"/>
              <w:left w:val="nil"/>
              <w:bottom w:val="nil"/>
              <w:right w:val="nil"/>
            </w:tcBorders>
            <w:shd w:val="clear" w:color="000000" w:fill="FFFFFF"/>
            <w:noWrap/>
            <w:vAlign w:val="center"/>
            <w:hideMark/>
          </w:tcPr>
          <w:p w14:paraId="3CB4ECA0" w14:textId="4579C5B1"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15,5</w:t>
            </w:r>
          </w:p>
        </w:tc>
      </w:tr>
      <w:tr w:rsidR="00EC4B63" w:rsidRPr="00A661AE" w14:paraId="2314C91B" w14:textId="77777777" w:rsidTr="003E6516">
        <w:trPr>
          <w:trHeight w:val="289"/>
        </w:trPr>
        <w:tc>
          <w:tcPr>
            <w:tcW w:w="6292" w:type="dxa"/>
            <w:tcBorders>
              <w:top w:val="nil"/>
              <w:left w:val="nil"/>
              <w:bottom w:val="nil"/>
              <w:right w:val="nil"/>
            </w:tcBorders>
            <w:shd w:val="clear" w:color="auto" w:fill="auto"/>
            <w:noWrap/>
            <w:vAlign w:val="bottom"/>
            <w:hideMark/>
          </w:tcPr>
          <w:p w14:paraId="3F7E44C8"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Preparaciones para la tos y el resfriado</w:t>
            </w:r>
          </w:p>
        </w:tc>
        <w:tc>
          <w:tcPr>
            <w:tcW w:w="1586" w:type="dxa"/>
            <w:tcBorders>
              <w:top w:val="nil"/>
              <w:left w:val="nil"/>
              <w:bottom w:val="nil"/>
              <w:right w:val="nil"/>
            </w:tcBorders>
          </w:tcPr>
          <w:p w14:paraId="1C0E7E4E" w14:textId="3913D855"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R05</w:t>
            </w:r>
          </w:p>
        </w:tc>
        <w:tc>
          <w:tcPr>
            <w:tcW w:w="1586" w:type="dxa"/>
            <w:tcBorders>
              <w:top w:val="nil"/>
              <w:left w:val="nil"/>
              <w:bottom w:val="nil"/>
              <w:right w:val="nil"/>
            </w:tcBorders>
            <w:shd w:val="clear" w:color="000000" w:fill="FFFFFF"/>
            <w:noWrap/>
            <w:vAlign w:val="center"/>
            <w:hideMark/>
          </w:tcPr>
          <w:p w14:paraId="6A2185BE" w14:textId="4156051A"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20,0</w:t>
            </w:r>
          </w:p>
        </w:tc>
      </w:tr>
      <w:tr w:rsidR="00EC4B63" w:rsidRPr="00A661AE" w14:paraId="77E7CBD7" w14:textId="77777777" w:rsidTr="003E6516">
        <w:trPr>
          <w:trHeight w:val="289"/>
        </w:trPr>
        <w:tc>
          <w:tcPr>
            <w:tcW w:w="6292" w:type="dxa"/>
            <w:tcBorders>
              <w:top w:val="nil"/>
              <w:left w:val="nil"/>
              <w:bottom w:val="nil"/>
              <w:right w:val="nil"/>
            </w:tcBorders>
            <w:shd w:val="clear" w:color="auto" w:fill="auto"/>
            <w:noWrap/>
            <w:vAlign w:val="bottom"/>
            <w:hideMark/>
          </w:tcPr>
          <w:p w14:paraId="6F73C6AE" w14:textId="0F37633C"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Medicamentos para trastornos relacionados con </w:t>
            </w:r>
            <w:r w:rsidR="00990649">
              <w:rPr>
                <w:rFonts w:ascii="Times New Roman" w:eastAsia="Times New Roman" w:hAnsi="Times New Roman" w:cs="Times New Roman"/>
                <w:color w:val="000000"/>
                <w:sz w:val="24"/>
                <w:szCs w:val="24"/>
                <w:lang w:eastAsia="es-CR"/>
              </w:rPr>
              <w:t>la acidez</w:t>
            </w:r>
          </w:p>
        </w:tc>
        <w:tc>
          <w:tcPr>
            <w:tcW w:w="1586" w:type="dxa"/>
            <w:tcBorders>
              <w:top w:val="nil"/>
              <w:left w:val="nil"/>
              <w:bottom w:val="nil"/>
              <w:right w:val="nil"/>
            </w:tcBorders>
          </w:tcPr>
          <w:p w14:paraId="4F3D756E" w14:textId="24C83CD2"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A02</w:t>
            </w:r>
          </w:p>
        </w:tc>
        <w:tc>
          <w:tcPr>
            <w:tcW w:w="1586" w:type="dxa"/>
            <w:tcBorders>
              <w:top w:val="nil"/>
              <w:left w:val="nil"/>
              <w:bottom w:val="nil"/>
              <w:right w:val="nil"/>
            </w:tcBorders>
            <w:shd w:val="clear" w:color="000000" w:fill="FFFFFF"/>
            <w:noWrap/>
            <w:vAlign w:val="center"/>
            <w:hideMark/>
          </w:tcPr>
          <w:p w14:paraId="4799F20E" w14:textId="7310313A"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16,5</w:t>
            </w:r>
          </w:p>
        </w:tc>
      </w:tr>
      <w:tr w:rsidR="00EC4B63" w:rsidRPr="00A661AE" w14:paraId="15B305BE" w14:textId="77777777" w:rsidTr="003E6516">
        <w:trPr>
          <w:trHeight w:val="289"/>
        </w:trPr>
        <w:tc>
          <w:tcPr>
            <w:tcW w:w="6292" w:type="dxa"/>
            <w:tcBorders>
              <w:top w:val="nil"/>
              <w:left w:val="nil"/>
              <w:bottom w:val="nil"/>
              <w:right w:val="nil"/>
            </w:tcBorders>
            <w:shd w:val="clear" w:color="auto" w:fill="auto"/>
            <w:noWrap/>
            <w:vAlign w:val="bottom"/>
            <w:hideMark/>
          </w:tcPr>
          <w:p w14:paraId="1283DF42"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Medicamentos para trastornos funcionales gastrointestinales</w:t>
            </w:r>
          </w:p>
        </w:tc>
        <w:tc>
          <w:tcPr>
            <w:tcW w:w="1586" w:type="dxa"/>
            <w:tcBorders>
              <w:top w:val="nil"/>
              <w:left w:val="nil"/>
              <w:bottom w:val="nil"/>
              <w:right w:val="nil"/>
            </w:tcBorders>
          </w:tcPr>
          <w:p w14:paraId="331E709C" w14:textId="6F9C9DA2"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A03</w:t>
            </w:r>
          </w:p>
        </w:tc>
        <w:tc>
          <w:tcPr>
            <w:tcW w:w="1586" w:type="dxa"/>
            <w:tcBorders>
              <w:top w:val="nil"/>
              <w:left w:val="nil"/>
              <w:bottom w:val="nil"/>
              <w:right w:val="nil"/>
            </w:tcBorders>
            <w:shd w:val="clear" w:color="000000" w:fill="FFFFFF"/>
            <w:noWrap/>
            <w:vAlign w:val="center"/>
            <w:hideMark/>
          </w:tcPr>
          <w:p w14:paraId="6818AD08" w14:textId="03CEE471"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17,5</w:t>
            </w:r>
          </w:p>
        </w:tc>
      </w:tr>
      <w:tr w:rsidR="00EC4B63" w:rsidRPr="00A661AE" w14:paraId="56DFB6E9" w14:textId="77777777" w:rsidTr="003E6516">
        <w:trPr>
          <w:trHeight w:val="289"/>
        </w:trPr>
        <w:tc>
          <w:tcPr>
            <w:tcW w:w="6292" w:type="dxa"/>
            <w:tcBorders>
              <w:top w:val="nil"/>
              <w:left w:val="nil"/>
              <w:bottom w:val="nil"/>
              <w:right w:val="nil"/>
            </w:tcBorders>
            <w:shd w:val="clear" w:color="auto" w:fill="auto"/>
            <w:noWrap/>
            <w:vAlign w:val="bottom"/>
            <w:hideMark/>
          </w:tcPr>
          <w:p w14:paraId="0FF00AD7"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Medicamentos para enfermedades obstructivas de las vías respiratorias</w:t>
            </w:r>
          </w:p>
        </w:tc>
        <w:tc>
          <w:tcPr>
            <w:tcW w:w="1586" w:type="dxa"/>
            <w:tcBorders>
              <w:top w:val="nil"/>
              <w:left w:val="nil"/>
              <w:bottom w:val="nil"/>
              <w:right w:val="nil"/>
            </w:tcBorders>
          </w:tcPr>
          <w:p w14:paraId="003F9A83" w14:textId="219494D2"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R03</w:t>
            </w:r>
          </w:p>
        </w:tc>
        <w:tc>
          <w:tcPr>
            <w:tcW w:w="1586" w:type="dxa"/>
            <w:tcBorders>
              <w:top w:val="nil"/>
              <w:left w:val="nil"/>
              <w:bottom w:val="nil"/>
              <w:right w:val="nil"/>
            </w:tcBorders>
            <w:shd w:val="clear" w:color="000000" w:fill="FFFFFF"/>
            <w:noWrap/>
            <w:vAlign w:val="center"/>
            <w:hideMark/>
          </w:tcPr>
          <w:p w14:paraId="06DC9228" w14:textId="31D2D4EF"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21,5</w:t>
            </w:r>
          </w:p>
        </w:tc>
      </w:tr>
      <w:tr w:rsidR="00EC4B63" w:rsidRPr="00A661AE" w14:paraId="00CE29DB" w14:textId="77777777" w:rsidTr="003E6516">
        <w:trPr>
          <w:trHeight w:val="289"/>
        </w:trPr>
        <w:tc>
          <w:tcPr>
            <w:tcW w:w="6292" w:type="dxa"/>
            <w:tcBorders>
              <w:top w:val="nil"/>
              <w:left w:val="nil"/>
              <w:bottom w:val="nil"/>
              <w:right w:val="nil"/>
            </w:tcBorders>
            <w:shd w:val="clear" w:color="auto" w:fill="auto"/>
            <w:noWrap/>
            <w:vAlign w:val="bottom"/>
            <w:hideMark/>
          </w:tcPr>
          <w:p w14:paraId="5F78F331"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Medicamentos para el tratamiento de enfermedades óseas</w:t>
            </w:r>
          </w:p>
        </w:tc>
        <w:tc>
          <w:tcPr>
            <w:tcW w:w="1586" w:type="dxa"/>
            <w:tcBorders>
              <w:top w:val="nil"/>
              <w:left w:val="nil"/>
              <w:bottom w:val="nil"/>
              <w:right w:val="nil"/>
            </w:tcBorders>
          </w:tcPr>
          <w:p w14:paraId="4EA0EDC3" w14:textId="76F31097"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M05</w:t>
            </w:r>
          </w:p>
        </w:tc>
        <w:tc>
          <w:tcPr>
            <w:tcW w:w="1586" w:type="dxa"/>
            <w:tcBorders>
              <w:top w:val="nil"/>
              <w:left w:val="nil"/>
              <w:bottom w:val="nil"/>
              <w:right w:val="nil"/>
            </w:tcBorders>
            <w:shd w:val="clear" w:color="000000" w:fill="FFFFFF"/>
            <w:noWrap/>
            <w:vAlign w:val="center"/>
            <w:hideMark/>
          </w:tcPr>
          <w:p w14:paraId="3E1683E1" w14:textId="23174438"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10,5</w:t>
            </w:r>
          </w:p>
        </w:tc>
      </w:tr>
      <w:tr w:rsidR="00EC4B63" w:rsidRPr="00A661AE" w14:paraId="03F50571" w14:textId="77777777" w:rsidTr="003E6516">
        <w:trPr>
          <w:trHeight w:val="289"/>
        </w:trPr>
        <w:tc>
          <w:tcPr>
            <w:tcW w:w="6292" w:type="dxa"/>
            <w:tcBorders>
              <w:top w:val="nil"/>
              <w:left w:val="nil"/>
              <w:bottom w:val="nil"/>
              <w:right w:val="nil"/>
            </w:tcBorders>
            <w:shd w:val="clear" w:color="auto" w:fill="auto"/>
            <w:noWrap/>
            <w:vAlign w:val="bottom"/>
            <w:hideMark/>
          </w:tcPr>
          <w:p w14:paraId="0028653E" w14:textId="5AE6ACFE"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Medicamentos </w:t>
            </w:r>
            <w:r w:rsidR="00990649">
              <w:rPr>
                <w:rFonts w:ascii="Times New Roman" w:eastAsia="Times New Roman" w:hAnsi="Times New Roman" w:cs="Times New Roman"/>
                <w:color w:val="000000"/>
                <w:sz w:val="24"/>
                <w:szCs w:val="24"/>
                <w:lang w:eastAsia="es-CR"/>
              </w:rPr>
              <w:t>para el tratamiento de la</w:t>
            </w:r>
            <w:r w:rsidRPr="00A661AE">
              <w:rPr>
                <w:rFonts w:ascii="Times New Roman" w:eastAsia="Times New Roman" w:hAnsi="Times New Roman" w:cs="Times New Roman"/>
                <w:color w:val="000000"/>
                <w:sz w:val="24"/>
                <w:szCs w:val="24"/>
                <w:lang w:eastAsia="es-CR"/>
              </w:rPr>
              <w:t xml:space="preserve"> diabetes</w:t>
            </w:r>
          </w:p>
        </w:tc>
        <w:tc>
          <w:tcPr>
            <w:tcW w:w="1586" w:type="dxa"/>
            <w:tcBorders>
              <w:top w:val="nil"/>
              <w:left w:val="nil"/>
              <w:bottom w:val="nil"/>
              <w:right w:val="nil"/>
            </w:tcBorders>
          </w:tcPr>
          <w:p w14:paraId="18FDE666" w14:textId="19538296"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A10</w:t>
            </w:r>
          </w:p>
        </w:tc>
        <w:tc>
          <w:tcPr>
            <w:tcW w:w="1586" w:type="dxa"/>
            <w:tcBorders>
              <w:top w:val="nil"/>
              <w:left w:val="nil"/>
              <w:bottom w:val="nil"/>
              <w:right w:val="nil"/>
            </w:tcBorders>
            <w:shd w:val="clear" w:color="000000" w:fill="FFFFFF"/>
            <w:noWrap/>
            <w:vAlign w:val="center"/>
            <w:hideMark/>
          </w:tcPr>
          <w:p w14:paraId="28C0B539" w14:textId="0ECE3CC4"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14,0</w:t>
            </w:r>
          </w:p>
        </w:tc>
      </w:tr>
      <w:tr w:rsidR="00EC4B63" w:rsidRPr="00A661AE" w14:paraId="039A08CF" w14:textId="77777777" w:rsidTr="003E6516">
        <w:trPr>
          <w:trHeight w:val="289"/>
        </w:trPr>
        <w:tc>
          <w:tcPr>
            <w:tcW w:w="6292" w:type="dxa"/>
            <w:tcBorders>
              <w:top w:val="nil"/>
              <w:left w:val="nil"/>
              <w:bottom w:val="nil"/>
              <w:right w:val="nil"/>
            </w:tcBorders>
            <w:shd w:val="clear" w:color="auto" w:fill="auto"/>
            <w:noWrap/>
            <w:vAlign w:val="bottom"/>
            <w:hideMark/>
          </w:tcPr>
          <w:p w14:paraId="69DE70D4"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Antiinfecciosos y antisépticos ginecológicos</w:t>
            </w:r>
          </w:p>
        </w:tc>
        <w:tc>
          <w:tcPr>
            <w:tcW w:w="1586" w:type="dxa"/>
            <w:tcBorders>
              <w:top w:val="nil"/>
              <w:left w:val="nil"/>
              <w:bottom w:val="nil"/>
              <w:right w:val="nil"/>
            </w:tcBorders>
          </w:tcPr>
          <w:p w14:paraId="4AB5743B" w14:textId="28657631"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G01</w:t>
            </w:r>
          </w:p>
        </w:tc>
        <w:tc>
          <w:tcPr>
            <w:tcW w:w="1586" w:type="dxa"/>
            <w:tcBorders>
              <w:top w:val="nil"/>
              <w:left w:val="nil"/>
              <w:bottom w:val="nil"/>
              <w:right w:val="nil"/>
            </w:tcBorders>
            <w:shd w:val="clear" w:color="000000" w:fill="FFFFFF"/>
            <w:noWrap/>
            <w:vAlign w:val="center"/>
            <w:hideMark/>
          </w:tcPr>
          <w:p w14:paraId="159B5860" w14:textId="5F7C9D90"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17,5</w:t>
            </w:r>
          </w:p>
        </w:tc>
      </w:tr>
      <w:tr w:rsidR="00EC4B63" w:rsidRPr="00A661AE" w14:paraId="5B84A45A" w14:textId="77777777" w:rsidTr="003E6516">
        <w:trPr>
          <w:trHeight w:val="289"/>
        </w:trPr>
        <w:tc>
          <w:tcPr>
            <w:tcW w:w="6292" w:type="dxa"/>
            <w:tcBorders>
              <w:top w:val="nil"/>
              <w:left w:val="nil"/>
              <w:bottom w:val="nil"/>
              <w:right w:val="nil"/>
            </w:tcBorders>
            <w:shd w:val="clear" w:color="auto" w:fill="auto"/>
            <w:noWrap/>
            <w:vAlign w:val="bottom"/>
            <w:hideMark/>
          </w:tcPr>
          <w:p w14:paraId="4750ADF0"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Agentes modificadores de lípidos</w:t>
            </w:r>
          </w:p>
        </w:tc>
        <w:tc>
          <w:tcPr>
            <w:tcW w:w="1586" w:type="dxa"/>
            <w:tcBorders>
              <w:top w:val="nil"/>
              <w:left w:val="nil"/>
              <w:bottom w:val="nil"/>
              <w:right w:val="nil"/>
            </w:tcBorders>
          </w:tcPr>
          <w:p w14:paraId="53A5C3C2" w14:textId="582B41EF"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C10</w:t>
            </w:r>
          </w:p>
        </w:tc>
        <w:tc>
          <w:tcPr>
            <w:tcW w:w="1586" w:type="dxa"/>
            <w:tcBorders>
              <w:top w:val="nil"/>
              <w:left w:val="nil"/>
              <w:bottom w:val="nil"/>
              <w:right w:val="nil"/>
            </w:tcBorders>
            <w:shd w:val="clear" w:color="000000" w:fill="FFFFFF"/>
            <w:noWrap/>
            <w:vAlign w:val="center"/>
            <w:hideMark/>
          </w:tcPr>
          <w:p w14:paraId="7D2DA7A0" w14:textId="2E38C9E3"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16,0</w:t>
            </w:r>
          </w:p>
        </w:tc>
      </w:tr>
      <w:tr w:rsidR="00EC4B63" w:rsidRPr="00A661AE" w14:paraId="26D6D763" w14:textId="77777777" w:rsidTr="003E6516">
        <w:trPr>
          <w:trHeight w:val="289"/>
        </w:trPr>
        <w:tc>
          <w:tcPr>
            <w:tcW w:w="6292" w:type="dxa"/>
            <w:tcBorders>
              <w:top w:val="nil"/>
              <w:left w:val="nil"/>
              <w:bottom w:val="nil"/>
              <w:right w:val="nil"/>
            </w:tcBorders>
            <w:shd w:val="clear" w:color="auto" w:fill="auto"/>
            <w:noWrap/>
            <w:vAlign w:val="bottom"/>
            <w:hideMark/>
          </w:tcPr>
          <w:p w14:paraId="0AA1FB06"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Relajantes musculares</w:t>
            </w:r>
          </w:p>
        </w:tc>
        <w:tc>
          <w:tcPr>
            <w:tcW w:w="1586" w:type="dxa"/>
            <w:tcBorders>
              <w:top w:val="nil"/>
              <w:left w:val="nil"/>
              <w:bottom w:val="nil"/>
              <w:right w:val="nil"/>
            </w:tcBorders>
          </w:tcPr>
          <w:p w14:paraId="3F4A7726" w14:textId="32FFF169"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M03</w:t>
            </w:r>
          </w:p>
        </w:tc>
        <w:tc>
          <w:tcPr>
            <w:tcW w:w="1586" w:type="dxa"/>
            <w:tcBorders>
              <w:top w:val="nil"/>
              <w:left w:val="nil"/>
              <w:bottom w:val="nil"/>
              <w:right w:val="nil"/>
            </w:tcBorders>
            <w:shd w:val="clear" w:color="000000" w:fill="FFFFFF"/>
            <w:noWrap/>
            <w:vAlign w:val="center"/>
            <w:hideMark/>
          </w:tcPr>
          <w:p w14:paraId="0327BEFE" w14:textId="1953CF75"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27,0</w:t>
            </w:r>
          </w:p>
        </w:tc>
      </w:tr>
      <w:tr w:rsidR="00EC4B63" w:rsidRPr="00A661AE" w14:paraId="0AF0A98E" w14:textId="77777777" w:rsidTr="003E6516">
        <w:trPr>
          <w:trHeight w:val="289"/>
        </w:trPr>
        <w:tc>
          <w:tcPr>
            <w:tcW w:w="6292" w:type="dxa"/>
            <w:tcBorders>
              <w:top w:val="nil"/>
              <w:left w:val="nil"/>
              <w:bottom w:val="nil"/>
              <w:right w:val="nil"/>
            </w:tcBorders>
            <w:shd w:val="clear" w:color="auto" w:fill="auto"/>
            <w:noWrap/>
            <w:vAlign w:val="bottom"/>
            <w:hideMark/>
          </w:tcPr>
          <w:p w14:paraId="1B11C4E4"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Preparaciones nasales</w:t>
            </w:r>
          </w:p>
        </w:tc>
        <w:tc>
          <w:tcPr>
            <w:tcW w:w="1586" w:type="dxa"/>
            <w:tcBorders>
              <w:top w:val="nil"/>
              <w:left w:val="nil"/>
              <w:bottom w:val="nil"/>
              <w:right w:val="nil"/>
            </w:tcBorders>
          </w:tcPr>
          <w:p w14:paraId="23751508" w14:textId="10AB4536"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R01</w:t>
            </w:r>
          </w:p>
        </w:tc>
        <w:tc>
          <w:tcPr>
            <w:tcW w:w="1586" w:type="dxa"/>
            <w:tcBorders>
              <w:top w:val="nil"/>
              <w:left w:val="nil"/>
              <w:bottom w:val="nil"/>
              <w:right w:val="nil"/>
            </w:tcBorders>
            <w:shd w:val="clear" w:color="000000" w:fill="FFFFFF"/>
            <w:noWrap/>
            <w:vAlign w:val="center"/>
            <w:hideMark/>
          </w:tcPr>
          <w:p w14:paraId="13BB13BB" w14:textId="26C9B6C3"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18,0</w:t>
            </w:r>
          </w:p>
        </w:tc>
      </w:tr>
      <w:tr w:rsidR="00EC4B63" w:rsidRPr="00A661AE" w14:paraId="3F1B9E64" w14:textId="77777777" w:rsidTr="003E6516">
        <w:trPr>
          <w:trHeight w:val="289"/>
        </w:trPr>
        <w:tc>
          <w:tcPr>
            <w:tcW w:w="6292" w:type="dxa"/>
            <w:tcBorders>
              <w:top w:val="nil"/>
              <w:left w:val="nil"/>
              <w:bottom w:val="nil"/>
              <w:right w:val="nil"/>
            </w:tcBorders>
            <w:shd w:val="clear" w:color="auto" w:fill="auto"/>
            <w:noWrap/>
            <w:vAlign w:val="bottom"/>
            <w:hideMark/>
          </w:tcPr>
          <w:p w14:paraId="4DA55E0A"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Oftalmológicos</w:t>
            </w:r>
          </w:p>
        </w:tc>
        <w:tc>
          <w:tcPr>
            <w:tcW w:w="1586" w:type="dxa"/>
            <w:tcBorders>
              <w:top w:val="nil"/>
              <w:left w:val="nil"/>
              <w:bottom w:val="nil"/>
              <w:right w:val="nil"/>
            </w:tcBorders>
          </w:tcPr>
          <w:p w14:paraId="761B99D5" w14:textId="5BC689C6" w:rsidR="00EC4B63" w:rsidRPr="00A661AE" w:rsidRDefault="00990649" w:rsidP="002518E4">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S01</w:t>
            </w:r>
          </w:p>
        </w:tc>
        <w:tc>
          <w:tcPr>
            <w:tcW w:w="1586" w:type="dxa"/>
            <w:tcBorders>
              <w:top w:val="nil"/>
              <w:left w:val="nil"/>
              <w:bottom w:val="nil"/>
              <w:right w:val="nil"/>
            </w:tcBorders>
            <w:shd w:val="clear" w:color="000000" w:fill="FFFFFF"/>
            <w:noWrap/>
            <w:vAlign w:val="center"/>
            <w:hideMark/>
          </w:tcPr>
          <w:p w14:paraId="5C157AFA" w14:textId="5DB4A49A"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17,5</w:t>
            </w:r>
          </w:p>
        </w:tc>
      </w:tr>
      <w:tr w:rsidR="00EC4B63" w:rsidRPr="00A661AE" w14:paraId="6A189557" w14:textId="77777777" w:rsidTr="003E6516">
        <w:trPr>
          <w:trHeight w:val="289"/>
        </w:trPr>
        <w:tc>
          <w:tcPr>
            <w:tcW w:w="6292" w:type="dxa"/>
            <w:tcBorders>
              <w:top w:val="nil"/>
              <w:left w:val="nil"/>
              <w:bottom w:val="nil"/>
              <w:right w:val="nil"/>
            </w:tcBorders>
            <w:shd w:val="clear" w:color="auto" w:fill="auto"/>
            <w:noWrap/>
            <w:vAlign w:val="bottom"/>
            <w:hideMark/>
          </w:tcPr>
          <w:p w14:paraId="21982671"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Otros productos para el tracto alimentario y el metabolismo</w:t>
            </w:r>
          </w:p>
        </w:tc>
        <w:tc>
          <w:tcPr>
            <w:tcW w:w="1586" w:type="dxa"/>
            <w:tcBorders>
              <w:top w:val="nil"/>
              <w:left w:val="nil"/>
              <w:bottom w:val="nil"/>
              <w:right w:val="nil"/>
            </w:tcBorders>
          </w:tcPr>
          <w:p w14:paraId="68809FAA" w14:textId="1AC43CBA" w:rsidR="00EC4B63" w:rsidRPr="00A661AE" w:rsidRDefault="007C1D06" w:rsidP="002518E4">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A16</w:t>
            </w:r>
          </w:p>
        </w:tc>
        <w:tc>
          <w:tcPr>
            <w:tcW w:w="1586" w:type="dxa"/>
            <w:tcBorders>
              <w:top w:val="nil"/>
              <w:left w:val="nil"/>
              <w:bottom w:val="nil"/>
              <w:right w:val="nil"/>
            </w:tcBorders>
            <w:shd w:val="clear" w:color="000000" w:fill="FFFFFF"/>
            <w:noWrap/>
            <w:vAlign w:val="center"/>
            <w:hideMark/>
          </w:tcPr>
          <w:p w14:paraId="650774CC" w14:textId="1BE9842E"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17,5</w:t>
            </w:r>
          </w:p>
        </w:tc>
      </w:tr>
      <w:tr w:rsidR="00EC4B63" w:rsidRPr="00A661AE" w14:paraId="0FDD71F3" w14:textId="77777777" w:rsidTr="003E6516">
        <w:trPr>
          <w:trHeight w:val="289"/>
        </w:trPr>
        <w:tc>
          <w:tcPr>
            <w:tcW w:w="6292" w:type="dxa"/>
            <w:tcBorders>
              <w:top w:val="nil"/>
              <w:left w:val="nil"/>
              <w:bottom w:val="nil"/>
              <w:right w:val="nil"/>
            </w:tcBorders>
            <w:shd w:val="clear" w:color="auto" w:fill="auto"/>
            <w:noWrap/>
            <w:vAlign w:val="bottom"/>
            <w:hideMark/>
          </w:tcPr>
          <w:p w14:paraId="4C2625A3"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Otros medicamentos para trastornos del sistema músculo-esquelético</w:t>
            </w:r>
          </w:p>
        </w:tc>
        <w:tc>
          <w:tcPr>
            <w:tcW w:w="1586" w:type="dxa"/>
            <w:tcBorders>
              <w:top w:val="nil"/>
              <w:left w:val="nil"/>
              <w:bottom w:val="nil"/>
              <w:right w:val="nil"/>
            </w:tcBorders>
          </w:tcPr>
          <w:p w14:paraId="51959A22" w14:textId="3C790542" w:rsidR="00EC4B63" w:rsidRPr="00A661AE" w:rsidRDefault="007C1D06" w:rsidP="002518E4">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M09</w:t>
            </w:r>
          </w:p>
        </w:tc>
        <w:tc>
          <w:tcPr>
            <w:tcW w:w="1586" w:type="dxa"/>
            <w:tcBorders>
              <w:top w:val="nil"/>
              <w:left w:val="nil"/>
              <w:bottom w:val="nil"/>
              <w:right w:val="nil"/>
            </w:tcBorders>
            <w:shd w:val="clear" w:color="000000" w:fill="FFFFFF"/>
            <w:noWrap/>
            <w:vAlign w:val="center"/>
            <w:hideMark/>
          </w:tcPr>
          <w:p w14:paraId="6E7EC1CB" w14:textId="297A3D7C"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17,5</w:t>
            </w:r>
          </w:p>
        </w:tc>
      </w:tr>
      <w:tr w:rsidR="00EC4B63" w:rsidRPr="00A661AE" w14:paraId="0843921A" w14:textId="77777777" w:rsidTr="003E6516">
        <w:trPr>
          <w:trHeight w:val="289"/>
        </w:trPr>
        <w:tc>
          <w:tcPr>
            <w:tcW w:w="6292" w:type="dxa"/>
            <w:tcBorders>
              <w:top w:val="nil"/>
              <w:left w:val="nil"/>
              <w:bottom w:val="nil"/>
              <w:right w:val="nil"/>
            </w:tcBorders>
            <w:shd w:val="clear" w:color="auto" w:fill="auto"/>
            <w:noWrap/>
            <w:vAlign w:val="bottom"/>
            <w:hideMark/>
          </w:tcPr>
          <w:p w14:paraId="3D692BA7"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Otros productos ginecológicos</w:t>
            </w:r>
          </w:p>
        </w:tc>
        <w:tc>
          <w:tcPr>
            <w:tcW w:w="1586" w:type="dxa"/>
            <w:tcBorders>
              <w:top w:val="nil"/>
              <w:left w:val="nil"/>
              <w:bottom w:val="nil"/>
              <w:right w:val="nil"/>
            </w:tcBorders>
          </w:tcPr>
          <w:p w14:paraId="0308CDD4" w14:textId="3F5B6083" w:rsidR="00EC4B63" w:rsidRPr="00A661AE" w:rsidRDefault="007C1D06" w:rsidP="002518E4">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G02</w:t>
            </w:r>
          </w:p>
        </w:tc>
        <w:tc>
          <w:tcPr>
            <w:tcW w:w="1586" w:type="dxa"/>
            <w:tcBorders>
              <w:top w:val="nil"/>
              <w:left w:val="nil"/>
              <w:bottom w:val="nil"/>
              <w:right w:val="nil"/>
            </w:tcBorders>
            <w:shd w:val="clear" w:color="000000" w:fill="FFFFFF"/>
            <w:noWrap/>
            <w:vAlign w:val="center"/>
            <w:hideMark/>
          </w:tcPr>
          <w:p w14:paraId="06BC7E3D" w14:textId="7346ED41"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14,0</w:t>
            </w:r>
          </w:p>
        </w:tc>
      </w:tr>
      <w:tr w:rsidR="00EC4B63" w:rsidRPr="00A661AE" w14:paraId="6817688E" w14:textId="77777777" w:rsidTr="003E6516">
        <w:trPr>
          <w:trHeight w:val="289"/>
        </w:trPr>
        <w:tc>
          <w:tcPr>
            <w:tcW w:w="6292" w:type="dxa"/>
            <w:tcBorders>
              <w:top w:val="nil"/>
              <w:left w:val="nil"/>
              <w:bottom w:val="nil"/>
              <w:right w:val="nil"/>
            </w:tcBorders>
            <w:shd w:val="clear" w:color="auto" w:fill="auto"/>
            <w:noWrap/>
            <w:vAlign w:val="bottom"/>
            <w:hideMark/>
          </w:tcPr>
          <w:p w14:paraId="23489BCE"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Otros medicamentos para el sistema nervioso</w:t>
            </w:r>
          </w:p>
        </w:tc>
        <w:tc>
          <w:tcPr>
            <w:tcW w:w="1586" w:type="dxa"/>
            <w:tcBorders>
              <w:top w:val="nil"/>
              <w:left w:val="nil"/>
              <w:bottom w:val="nil"/>
              <w:right w:val="nil"/>
            </w:tcBorders>
          </w:tcPr>
          <w:p w14:paraId="684DC0F6" w14:textId="7CB4DE3B" w:rsidR="00EC4B63" w:rsidRPr="00A661AE" w:rsidRDefault="007C1D06" w:rsidP="002518E4">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N07</w:t>
            </w:r>
          </w:p>
        </w:tc>
        <w:tc>
          <w:tcPr>
            <w:tcW w:w="1586" w:type="dxa"/>
            <w:tcBorders>
              <w:top w:val="nil"/>
              <w:left w:val="nil"/>
              <w:bottom w:val="nil"/>
              <w:right w:val="nil"/>
            </w:tcBorders>
            <w:shd w:val="clear" w:color="000000" w:fill="FFFFFF"/>
            <w:noWrap/>
            <w:vAlign w:val="center"/>
            <w:hideMark/>
          </w:tcPr>
          <w:p w14:paraId="338DF5B1" w14:textId="03CCF132"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20,0</w:t>
            </w:r>
          </w:p>
        </w:tc>
      </w:tr>
      <w:tr w:rsidR="00EC4B63" w:rsidRPr="00A661AE" w14:paraId="29B54561" w14:textId="77777777" w:rsidTr="003E6516">
        <w:trPr>
          <w:trHeight w:val="289"/>
        </w:trPr>
        <w:tc>
          <w:tcPr>
            <w:tcW w:w="6292" w:type="dxa"/>
            <w:tcBorders>
              <w:top w:val="nil"/>
              <w:left w:val="nil"/>
              <w:bottom w:val="nil"/>
              <w:right w:val="nil"/>
            </w:tcBorders>
            <w:shd w:val="clear" w:color="auto" w:fill="auto"/>
            <w:noWrap/>
            <w:vAlign w:val="bottom"/>
            <w:hideMark/>
          </w:tcPr>
          <w:p w14:paraId="651306F2"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proofErr w:type="spellStart"/>
            <w:r w:rsidRPr="00A661AE">
              <w:rPr>
                <w:rFonts w:ascii="Times New Roman" w:eastAsia="Times New Roman" w:hAnsi="Times New Roman" w:cs="Times New Roman"/>
                <w:color w:val="000000"/>
                <w:sz w:val="24"/>
                <w:szCs w:val="24"/>
                <w:lang w:eastAsia="es-CR"/>
              </w:rPr>
              <w:t>Psicoanalépticos</w:t>
            </w:r>
            <w:proofErr w:type="spellEnd"/>
          </w:p>
        </w:tc>
        <w:tc>
          <w:tcPr>
            <w:tcW w:w="1586" w:type="dxa"/>
            <w:tcBorders>
              <w:top w:val="nil"/>
              <w:left w:val="nil"/>
              <w:bottom w:val="nil"/>
              <w:right w:val="nil"/>
            </w:tcBorders>
          </w:tcPr>
          <w:p w14:paraId="6EF33E88" w14:textId="005DE7E6" w:rsidR="00EC4B63" w:rsidRPr="00A661AE" w:rsidRDefault="007C1D06" w:rsidP="002518E4">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N06</w:t>
            </w:r>
          </w:p>
        </w:tc>
        <w:tc>
          <w:tcPr>
            <w:tcW w:w="1586" w:type="dxa"/>
            <w:tcBorders>
              <w:top w:val="nil"/>
              <w:left w:val="nil"/>
              <w:bottom w:val="nil"/>
              <w:right w:val="nil"/>
            </w:tcBorders>
            <w:shd w:val="clear" w:color="000000" w:fill="FFFFFF"/>
            <w:noWrap/>
            <w:vAlign w:val="center"/>
            <w:hideMark/>
          </w:tcPr>
          <w:p w14:paraId="25FE5951" w14:textId="09F09E3D"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15,0</w:t>
            </w:r>
          </w:p>
        </w:tc>
      </w:tr>
      <w:tr w:rsidR="00EC4B63" w:rsidRPr="00A661AE" w14:paraId="15C3140E" w14:textId="77777777" w:rsidTr="003E6516">
        <w:trPr>
          <w:trHeight w:val="289"/>
        </w:trPr>
        <w:tc>
          <w:tcPr>
            <w:tcW w:w="6292" w:type="dxa"/>
            <w:tcBorders>
              <w:top w:val="nil"/>
              <w:left w:val="nil"/>
              <w:bottom w:val="nil"/>
              <w:right w:val="nil"/>
            </w:tcBorders>
            <w:shd w:val="clear" w:color="auto" w:fill="auto"/>
            <w:noWrap/>
            <w:vAlign w:val="bottom"/>
            <w:hideMark/>
          </w:tcPr>
          <w:p w14:paraId="2A33629F"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proofErr w:type="spellStart"/>
            <w:r w:rsidRPr="00A661AE">
              <w:rPr>
                <w:rFonts w:ascii="Times New Roman" w:eastAsia="Times New Roman" w:hAnsi="Times New Roman" w:cs="Times New Roman"/>
                <w:color w:val="000000"/>
                <w:sz w:val="24"/>
                <w:szCs w:val="24"/>
                <w:lang w:eastAsia="es-CR"/>
              </w:rPr>
              <w:t>Psicolepticos</w:t>
            </w:r>
            <w:proofErr w:type="spellEnd"/>
          </w:p>
        </w:tc>
        <w:tc>
          <w:tcPr>
            <w:tcW w:w="1586" w:type="dxa"/>
            <w:tcBorders>
              <w:top w:val="nil"/>
              <w:left w:val="nil"/>
              <w:bottom w:val="nil"/>
              <w:right w:val="nil"/>
            </w:tcBorders>
          </w:tcPr>
          <w:p w14:paraId="5E3B3FB1" w14:textId="5DE1F6EF" w:rsidR="00EC4B63" w:rsidRPr="00A661AE" w:rsidRDefault="007C1D06" w:rsidP="002518E4">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N05</w:t>
            </w:r>
          </w:p>
        </w:tc>
        <w:tc>
          <w:tcPr>
            <w:tcW w:w="1586" w:type="dxa"/>
            <w:tcBorders>
              <w:top w:val="nil"/>
              <w:left w:val="nil"/>
              <w:bottom w:val="nil"/>
              <w:right w:val="nil"/>
            </w:tcBorders>
            <w:shd w:val="clear" w:color="000000" w:fill="FFFFFF"/>
            <w:noWrap/>
            <w:vAlign w:val="center"/>
            <w:hideMark/>
          </w:tcPr>
          <w:p w14:paraId="105B3313" w14:textId="04B2E657"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19,0</w:t>
            </w:r>
          </w:p>
        </w:tc>
      </w:tr>
      <w:tr w:rsidR="00EC4B63" w:rsidRPr="00A661AE" w14:paraId="4CC23678" w14:textId="77777777" w:rsidTr="003E6516">
        <w:trPr>
          <w:trHeight w:val="289"/>
        </w:trPr>
        <w:tc>
          <w:tcPr>
            <w:tcW w:w="6292" w:type="dxa"/>
            <w:tcBorders>
              <w:top w:val="nil"/>
              <w:left w:val="nil"/>
              <w:bottom w:val="nil"/>
              <w:right w:val="nil"/>
            </w:tcBorders>
            <w:shd w:val="clear" w:color="auto" w:fill="auto"/>
            <w:noWrap/>
            <w:vAlign w:val="bottom"/>
            <w:hideMark/>
          </w:tcPr>
          <w:p w14:paraId="77E520BE"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Hormonas sexuales y moduladores del sistema genital</w:t>
            </w:r>
          </w:p>
        </w:tc>
        <w:tc>
          <w:tcPr>
            <w:tcW w:w="1586" w:type="dxa"/>
            <w:tcBorders>
              <w:top w:val="nil"/>
              <w:left w:val="nil"/>
              <w:bottom w:val="nil"/>
              <w:right w:val="nil"/>
            </w:tcBorders>
          </w:tcPr>
          <w:p w14:paraId="0CAD21FC" w14:textId="50661F17" w:rsidR="00EC4B63" w:rsidRPr="00A661AE" w:rsidRDefault="007C1D06" w:rsidP="002518E4">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G03</w:t>
            </w:r>
          </w:p>
        </w:tc>
        <w:tc>
          <w:tcPr>
            <w:tcW w:w="1586" w:type="dxa"/>
            <w:tcBorders>
              <w:top w:val="nil"/>
              <w:left w:val="nil"/>
              <w:bottom w:val="nil"/>
              <w:right w:val="nil"/>
            </w:tcBorders>
            <w:shd w:val="clear" w:color="000000" w:fill="FFFFFF"/>
            <w:noWrap/>
            <w:vAlign w:val="center"/>
            <w:hideMark/>
          </w:tcPr>
          <w:p w14:paraId="2C261A0D" w14:textId="220749F6"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19,5</w:t>
            </w:r>
          </w:p>
        </w:tc>
      </w:tr>
      <w:tr w:rsidR="00EC4B63" w:rsidRPr="00A661AE" w14:paraId="03571E85" w14:textId="77777777" w:rsidTr="003E6516">
        <w:trPr>
          <w:trHeight w:val="289"/>
        </w:trPr>
        <w:tc>
          <w:tcPr>
            <w:tcW w:w="6292" w:type="dxa"/>
            <w:tcBorders>
              <w:top w:val="nil"/>
              <w:left w:val="nil"/>
              <w:bottom w:val="nil"/>
              <w:right w:val="nil"/>
            </w:tcBorders>
            <w:shd w:val="clear" w:color="auto" w:fill="auto"/>
            <w:noWrap/>
            <w:vAlign w:val="bottom"/>
            <w:hideMark/>
          </w:tcPr>
          <w:p w14:paraId="51B079F3"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Terapia tiroidea</w:t>
            </w:r>
          </w:p>
        </w:tc>
        <w:tc>
          <w:tcPr>
            <w:tcW w:w="1586" w:type="dxa"/>
            <w:tcBorders>
              <w:top w:val="nil"/>
              <w:left w:val="nil"/>
              <w:bottom w:val="nil"/>
              <w:right w:val="nil"/>
            </w:tcBorders>
          </w:tcPr>
          <w:p w14:paraId="5F922DC1" w14:textId="0A4D0F2D" w:rsidR="00EC4B63" w:rsidRPr="00A661AE" w:rsidRDefault="007C1D06" w:rsidP="002518E4">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H03</w:t>
            </w:r>
          </w:p>
        </w:tc>
        <w:tc>
          <w:tcPr>
            <w:tcW w:w="1586" w:type="dxa"/>
            <w:tcBorders>
              <w:top w:val="nil"/>
              <w:left w:val="nil"/>
              <w:bottom w:val="nil"/>
              <w:right w:val="nil"/>
            </w:tcBorders>
            <w:shd w:val="clear" w:color="000000" w:fill="FFFFFF"/>
            <w:noWrap/>
            <w:vAlign w:val="center"/>
            <w:hideMark/>
          </w:tcPr>
          <w:p w14:paraId="7A434FBE" w14:textId="68FD7C30"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17,5</w:t>
            </w:r>
          </w:p>
        </w:tc>
      </w:tr>
      <w:tr w:rsidR="00EC4B63" w:rsidRPr="00A661AE" w14:paraId="51AF13A0" w14:textId="77777777" w:rsidTr="003E6516">
        <w:trPr>
          <w:trHeight w:val="289"/>
        </w:trPr>
        <w:tc>
          <w:tcPr>
            <w:tcW w:w="6292" w:type="dxa"/>
            <w:tcBorders>
              <w:top w:val="nil"/>
              <w:left w:val="nil"/>
              <w:bottom w:val="nil"/>
              <w:right w:val="nil"/>
            </w:tcBorders>
            <w:shd w:val="clear" w:color="auto" w:fill="auto"/>
            <w:noWrap/>
            <w:vAlign w:val="bottom"/>
            <w:hideMark/>
          </w:tcPr>
          <w:p w14:paraId="403A7669"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Urológicos</w:t>
            </w:r>
          </w:p>
        </w:tc>
        <w:tc>
          <w:tcPr>
            <w:tcW w:w="1586" w:type="dxa"/>
            <w:tcBorders>
              <w:top w:val="nil"/>
              <w:left w:val="nil"/>
              <w:bottom w:val="nil"/>
              <w:right w:val="nil"/>
            </w:tcBorders>
          </w:tcPr>
          <w:p w14:paraId="363555D2" w14:textId="542A135F" w:rsidR="00EC4B63" w:rsidRPr="00A661AE" w:rsidRDefault="007C1D06" w:rsidP="002518E4">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G04</w:t>
            </w:r>
          </w:p>
        </w:tc>
        <w:tc>
          <w:tcPr>
            <w:tcW w:w="1586" w:type="dxa"/>
            <w:tcBorders>
              <w:top w:val="nil"/>
              <w:left w:val="nil"/>
              <w:bottom w:val="nil"/>
              <w:right w:val="nil"/>
            </w:tcBorders>
            <w:shd w:val="clear" w:color="000000" w:fill="FFFFFF"/>
            <w:noWrap/>
            <w:vAlign w:val="center"/>
            <w:hideMark/>
          </w:tcPr>
          <w:p w14:paraId="1DDD666D" w14:textId="05F229AC"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28,0</w:t>
            </w:r>
          </w:p>
        </w:tc>
      </w:tr>
      <w:tr w:rsidR="00EC4B63" w:rsidRPr="00A661AE" w14:paraId="09921DA6" w14:textId="77777777" w:rsidTr="003E6516">
        <w:trPr>
          <w:trHeight w:val="289"/>
        </w:trPr>
        <w:tc>
          <w:tcPr>
            <w:tcW w:w="6292" w:type="dxa"/>
            <w:tcBorders>
              <w:top w:val="nil"/>
              <w:left w:val="nil"/>
              <w:bottom w:val="nil"/>
              <w:right w:val="nil"/>
            </w:tcBorders>
            <w:shd w:val="clear" w:color="auto" w:fill="auto"/>
            <w:noWrap/>
            <w:vAlign w:val="bottom"/>
            <w:hideMark/>
          </w:tcPr>
          <w:p w14:paraId="4490CB86"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Vacunas</w:t>
            </w:r>
          </w:p>
        </w:tc>
        <w:tc>
          <w:tcPr>
            <w:tcW w:w="1586" w:type="dxa"/>
            <w:tcBorders>
              <w:top w:val="nil"/>
              <w:left w:val="nil"/>
              <w:bottom w:val="nil"/>
              <w:right w:val="nil"/>
            </w:tcBorders>
          </w:tcPr>
          <w:p w14:paraId="66D3435C" w14:textId="2CC3F486" w:rsidR="00EC4B63" w:rsidRPr="00A661AE" w:rsidRDefault="007C1D06" w:rsidP="002518E4">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J07</w:t>
            </w:r>
          </w:p>
        </w:tc>
        <w:tc>
          <w:tcPr>
            <w:tcW w:w="1586" w:type="dxa"/>
            <w:tcBorders>
              <w:top w:val="nil"/>
              <w:left w:val="nil"/>
              <w:bottom w:val="nil"/>
              <w:right w:val="nil"/>
            </w:tcBorders>
            <w:shd w:val="clear" w:color="000000" w:fill="FFFFFF"/>
            <w:noWrap/>
            <w:vAlign w:val="center"/>
            <w:hideMark/>
          </w:tcPr>
          <w:p w14:paraId="01DCAAD3" w14:textId="372A24D1"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19,0</w:t>
            </w:r>
          </w:p>
        </w:tc>
      </w:tr>
      <w:tr w:rsidR="00EC4B63" w:rsidRPr="00A661AE" w14:paraId="6F424E47" w14:textId="77777777" w:rsidTr="003E6516">
        <w:trPr>
          <w:trHeight w:val="289"/>
        </w:trPr>
        <w:tc>
          <w:tcPr>
            <w:tcW w:w="6292" w:type="dxa"/>
            <w:tcBorders>
              <w:top w:val="nil"/>
              <w:left w:val="nil"/>
              <w:bottom w:val="single" w:sz="4" w:space="0" w:color="auto"/>
              <w:right w:val="nil"/>
            </w:tcBorders>
            <w:shd w:val="clear" w:color="auto" w:fill="auto"/>
            <w:noWrap/>
            <w:vAlign w:val="bottom"/>
            <w:hideMark/>
          </w:tcPr>
          <w:p w14:paraId="4588173D" w14:textId="77777777" w:rsidR="00EC4B63" w:rsidRPr="00A661AE" w:rsidRDefault="00EC4B63" w:rsidP="002518E4">
            <w:pPr>
              <w:spacing w:after="0" w:line="240" w:lineRule="auto"/>
              <w:rPr>
                <w:rFonts w:ascii="Times New Roman" w:eastAsia="Times New Roman" w:hAnsi="Times New Roman" w:cs="Times New Roman"/>
                <w:color w:val="000000"/>
                <w:sz w:val="24"/>
                <w:szCs w:val="24"/>
                <w:lang w:eastAsia="es-CR"/>
              </w:rPr>
            </w:pPr>
            <w:proofErr w:type="spellStart"/>
            <w:r w:rsidRPr="00A661AE">
              <w:rPr>
                <w:rFonts w:ascii="Times New Roman" w:eastAsia="Times New Roman" w:hAnsi="Times New Roman" w:cs="Times New Roman"/>
                <w:color w:val="000000"/>
                <w:sz w:val="24"/>
                <w:szCs w:val="24"/>
                <w:lang w:eastAsia="es-CR"/>
              </w:rPr>
              <w:t>Vasoprotectores</w:t>
            </w:r>
            <w:proofErr w:type="spellEnd"/>
          </w:p>
        </w:tc>
        <w:tc>
          <w:tcPr>
            <w:tcW w:w="1586" w:type="dxa"/>
            <w:tcBorders>
              <w:top w:val="nil"/>
              <w:left w:val="nil"/>
              <w:bottom w:val="single" w:sz="4" w:space="0" w:color="auto"/>
              <w:right w:val="nil"/>
            </w:tcBorders>
          </w:tcPr>
          <w:p w14:paraId="1C352C85" w14:textId="7727BD31" w:rsidR="00EC4B63" w:rsidRPr="00A661AE" w:rsidRDefault="007C1D06" w:rsidP="002518E4">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C05</w:t>
            </w:r>
          </w:p>
        </w:tc>
        <w:tc>
          <w:tcPr>
            <w:tcW w:w="1586" w:type="dxa"/>
            <w:tcBorders>
              <w:top w:val="nil"/>
              <w:left w:val="nil"/>
              <w:bottom w:val="single" w:sz="4" w:space="0" w:color="auto"/>
              <w:right w:val="nil"/>
            </w:tcBorders>
            <w:shd w:val="clear" w:color="000000" w:fill="FFFFFF"/>
            <w:noWrap/>
            <w:vAlign w:val="center"/>
            <w:hideMark/>
          </w:tcPr>
          <w:p w14:paraId="10F056E5" w14:textId="51CC0DAB" w:rsidR="00EC4B63" w:rsidRPr="00A661AE" w:rsidRDefault="00EC4B63" w:rsidP="002518E4">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19,0</w:t>
            </w:r>
          </w:p>
        </w:tc>
      </w:tr>
    </w:tbl>
    <w:p w14:paraId="5DC2CE82" w14:textId="77777777" w:rsidR="00A04915" w:rsidRDefault="00A04915" w:rsidP="002518E4">
      <w:pPr>
        <w:spacing w:after="0" w:line="240" w:lineRule="auto"/>
        <w:jc w:val="both"/>
        <w:rPr>
          <w:rFonts w:ascii="Times New Roman" w:hAnsi="Times New Roman" w:cs="Times New Roman"/>
          <w:sz w:val="24"/>
          <w:szCs w:val="24"/>
        </w:rPr>
      </w:pPr>
    </w:p>
    <w:p w14:paraId="3318CEC1" w14:textId="5E876EF4" w:rsidR="00AD785E" w:rsidRDefault="00F04682" w:rsidP="002518E4">
      <w:pPr>
        <w:spacing w:after="0" w:line="240" w:lineRule="auto"/>
        <w:jc w:val="both"/>
        <w:rPr>
          <w:rFonts w:ascii="Times New Roman" w:hAnsi="Times New Roman" w:cs="Times New Roman"/>
          <w:sz w:val="24"/>
          <w:szCs w:val="24"/>
        </w:rPr>
      </w:pPr>
      <w:r w:rsidRPr="00F04682">
        <w:rPr>
          <w:rFonts w:ascii="Times New Roman" w:hAnsi="Times New Roman" w:cs="Times New Roman"/>
          <w:sz w:val="24"/>
          <w:szCs w:val="24"/>
        </w:rPr>
        <w:t>Los principios activos o DCI que conforman cada uno de los grupos terapéuticos indicados se encuentran en: ATC (</w:t>
      </w:r>
      <w:proofErr w:type="spellStart"/>
      <w:r w:rsidRPr="00F04682">
        <w:rPr>
          <w:rFonts w:ascii="Times New Roman" w:hAnsi="Times New Roman" w:cs="Times New Roman"/>
          <w:sz w:val="24"/>
          <w:szCs w:val="24"/>
        </w:rPr>
        <w:t>Anatomical</w:t>
      </w:r>
      <w:proofErr w:type="spellEnd"/>
      <w:r w:rsidRPr="00F04682">
        <w:rPr>
          <w:rFonts w:ascii="Times New Roman" w:hAnsi="Times New Roman" w:cs="Times New Roman"/>
          <w:sz w:val="24"/>
          <w:szCs w:val="24"/>
        </w:rPr>
        <w:t xml:space="preserve"> </w:t>
      </w:r>
      <w:proofErr w:type="spellStart"/>
      <w:r w:rsidRPr="00F04682">
        <w:rPr>
          <w:rFonts w:ascii="Times New Roman" w:hAnsi="Times New Roman" w:cs="Times New Roman"/>
          <w:sz w:val="24"/>
          <w:szCs w:val="24"/>
        </w:rPr>
        <w:t>Therapeutic</w:t>
      </w:r>
      <w:proofErr w:type="spellEnd"/>
      <w:r w:rsidRPr="00F04682">
        <w:rPr>
          <w:rFonts w:ascii="Times New Roman" w:hAnsi="Times New Roman" w:cs="Times New Roman"/>
          <w:sz w:val="24"/>
          <w:szCs w:val="24"/>
        </w:rPr>
        <w:t xml:space="preserve"> Chemical) </w:t>
      </w:r>
      <w:hyperlink r:id="rId10" w:history="1">
        <w:r w:rsidRPr="00C07136">
          <w:rPr>
            <w:rStyle w:val="Hipervnculo"/>
            <w:rFonts w:ascii="Times New Roman" w:hAnsi="Times New Roman" w:cs="Times New Roman"/>
            <w:sz w:val="24"/>
            <w:szCs w:val="24"/>
          </w:rPr>
          <w:t>https://atcddd.fhi.no/atc_ddd_index/</w:t>
        </w:r>
      </w:hyperlink>
    </w:p>
    <w:p w14:paraId="0EC821C9" w14:textId="77777777" w:rsidR="00F04682" w:rsidRPr="00A661AE" w:rsidRDefault="00F04682" w:rsidP="002518E4">
      <w:pPr>
        <w:spacing w:after="0" w:line="240" w:lineRule="auto"/>
        <w:jc w:val="both"/>
        <w:rPr>
          <w:rFonts w:ascii="Times New Roman" w:hAnsi="Times New Roman" w:cs="Times New Roman"/>
          <w:sz w:val="24"/>
          <w:szCs w:val="24"/>
        </w:rPr>
      </w:pPr>
    </w:p>
    <w:p w14:paraId="1A2CE8A4" w14:textId="77777777" w:rsidR="003E6516" w:rsidRDefault="003E6516" w:rsidP="002518E4">
      <w:pPr>
        <w:spacing w:after="0" w:line="240" w:lineRule="auto"/>
        <w:jc w:val="center"/>
        <w:rPr>
          <w:rFonts w:ascii="Times New Roman" w:hAnsi="Times New Roman" w:cs="Times New Roman"/>
          <w:b/>
          <w:bCs/>
          <w:sz w:val="24"/>
          <w:szCs w:val="24"/>
        </w:rPr>
      </w:pPr>
    </w:p>
    <w:p w14:paraId="509350E2" w14:textId="77777777" w:rsidR="003E6516" w:rsidRDefault="003E6516" w:rsidP="002518E4">
      <w:pPr>
        <w:spacing w:after="0" w:line="240" w:lineRule="auto"/>
        <w:jc w:val="center"/>
        <w:rPr>
          <w:rFonts w:ascii="Times New Roman" w:hAnsi="Times New Roman" w:cs="Times New Roman"/>
          <w:b/>
          <w:bCs/>
          <w:sz w:val="24"/>
          <w:szCs w:val="24"/>
        </w:rPr>
      </w:pPr>
    </w:p>
    <w:p w14:paraId="4B832B38" w14:textId="47E5A90E" w:rsidR="009736CD" w:rsidRPr="0084017C" w:rsidRDefault="009736CD" w:rsidP="002518E4">
      <w:pPr>
        <w:spacing w:after="0" w:line="240" w:lineRule="auto"/>
        <w:jc w:val="center"/>
        <w:rPr>
          <w:rFonts w:ascii="Times New Roman" w:hAnsi="Times New Roman" w:cs="Times New Roman"/>
          <w:b/>
          <w:bCs/>
          <w:sz w:val="24"/>
          <w:szCs w:val="24"/>
        </w:rPr>
      </w:pPr>
      <w:r w:rsidRPr="0084017C">
        <w:rPr>
          <w:rFonts w:ascii="Times New Roman" w:hAnsi="Times New Roman" w:cs="Times New Roman"/>
          <w:b/>
          <w:bCs/>
          <w:sz w:val="24"/>
          <w:szCs w:val="24"/>
        </w:rPr>
        <w:t xml:space="preserve">Tabla 2. Margen Máximo de Comercialización para los medicamentos por grupo terapéutico a nivel </w:t>
      </w:r>
      <w:r w:rsidR="00350125">
        <w:rPr>
          <w:rFonts w:ascii="Times New Roman" w:hAnsi="Times New Roman" w:cs="Times New Roman"/>
          <w:b/>
          <w:bCs/>
          <w:sz w:val="24"/>
          <w:szCs w:val="24"/>
        </w:rPr>
        <w:t xml:space="preserve">minorista </w:t>
      </w:r>
    </w:p>
    <w:tbl>
      <w:tblPr>
        <w:tblW w:w="5000" w:type="pct"/>
        <w:tblLayout w:type="fixed"/>
        <w:tblCellMar>
          <w:left w:w="70" w:type="dxa"/>
          <w:right w:w="70" w:type="dxa"/>
        </w:tblCellMar>
        <w:tblLook w:val="04A0" w:firstRow="1" w:lastRow="0" w:firstColumn="1" w:lastColumn="0" w:noHBand="0" w:noVBand="1"/>
      </w:tblPr>
      <w:tblGrid>
        <w:gridCol w:w="6116"/>
        <w:gridCol w:w="1361"/>
        <w:gridCol w:w="1361"/>
      </w:tblGrid>
      <w:tr w:rsidR="007C1D06" w:rsidRPr="00A661AE" w14:paraId="555012B8" w14:textId="77777777" w:rsidTr="00350125">
        <w:trPr>
          <w:trHeight w:val="864"/>
        </w:trPr>
        <w:tc>
          <w:tcPr>
            <w:tcW w:w="3460" w:type="pct"/>
            <w:tcBorders>
              <w:top w:val="single" w:sz="4" w:space="0" w:color="auto"/>
              <w:left w:val="nil"/>
              <w:bottom w:val="single" w:sz="4" w:space="0" w:color="auto"/>
              <w:right w:val="nil"/>
            </w:tcBorders>
            <w:shd w:val="clear" w:color="auto" w:fill="auto"/>
            <w:vAlign w:val="center"/>
            <w:hideMark/>
          </w:tcPr>
          <w:p w14:paraId="066AA87F" w14:textId="0DA98EB0" w:rsidR="007C1D06" w:rsidRPr="00A661AE" w:rsidRDefault="007C1D06" w:rsidP="002518E4">
            <w:pPr>
              <w:spacing w:after="0" w:line="240" w:lineRule="auto"/>
              <w:rPr>
                <w:rFonts w:ascii="Times New Roman" w:eastAsia="Times New Roman" w:hAnsi="Times New Roman" w:cs="Times New Roman"/>
                <w:b/>
                <w:bCs/>
                <w:color w:val="000000"/>
                <w:sz w:val="24"/>
                <w:szCs w:val="24"/>
                <w:lang w:eastAsia="es-CR"/>
              </w:rPr>
            </w:pPr>
            <w:r w:rsidRPr="00A661AE">
              <w:rPr>
                <w:rFonts w:ascii="Times New Roman" w:eastAsia="Times New Roman" w:hAnsi="Times New Roman" w:cs="Times New Roman"/>
                <w:b/>
                <w:bCs/>
                <w:color w:val="000000"/>
                <w:sz w:val="24"/>
                <w:szCs w:val="24"/>
                <w:lang w:eastAsia="es-CR"/>
              </w:rPr>
              <w:t>Grupo Terapéutico</w:t>
            </w:r>
          </w:p>
        </w:tc>
        <w:tc>
          <w:tcPr>
            <w:tcW w:w="770" w:type="pct"/>
            <w:tcBorders>
              <w:top w:val="single" w:sz="4" w:space="0" w:color="auto"/>
              <w:left w:val="nil"/>
              <w:bottom w:val="single" w:sz="4" w:space="0" w:color="auto"/>
              <w:right w:val="nil"/>
            </w:tcBorders>
            <w:vAlign w:val="center"/>
          </w:tcPr>
          <w:p w14:paraId="4E1CD14D" w14:textId="1A9B2CC0" w:rsidR="007C1D06" w:rsidRPr="00A661AE" w:rsidRDefault="00984760" w:rsidP="00984760">
            <w:pPr>
              <w:spacing w:after="0" w:line="240" w:lineRule="auto"/>
              <w:jc w:val="center"/>
              <w:rPr>
                <w:rFonts w:ascii="Times New Roman" w:eastAsia="Times New Roman" w:hAnsi="Times New Roman" w:cs="Times New Roman"/>
                <w:b/>
                <w:bCs/>
                <w:color w:val="000000"/>
                <w:sz w:val="24"/>
                <w:szCs w:val="24"/>
                <w:lang w:eastAsia="es-CR"/>
              </w:rPr>
            </w:pPr>
            <w:r>
              <w:rPr>
                <w:rFonts w:ascii="Times New Roman" w:eastAsia="Times New Roman" w:hAnsi="Times New Roman" w:cs="Times New Roman"/>
                <w:b/>
                <w:bCs/>
                <w:color w:val="000000"/>
                <w:sz w:val="24"/>
                <w:szCs w:val="24"/>
                <w:lang w:eastAsia="es-CR"/>
              </w:rPr>
              <w:t>Código ATC</w:t>
            </w:r>
          </w:p>
        </w:tc>
        <w:tc>
          <w:tcPr>
            <w:tcW w:w="770" w:type="pct"/>
            <w:tcBorders>
              <w:top w:val="single" w:sz="4" w:space="0" w:color="auto"/>
              <w:left w:val="nil"/>
              <w:bottom w:val="single" w:sz="4" w:space="0" w:color="auto"/>
              <w:right w:val="nil"/>
            </w:tcBorders>
            <w:shd w:val="clear" w:color="auto" w:fill="auto"/>
            <w:vAlign w:val="center"/>
            <w:hideMark/>
          </w:tcPr>
          <w:p w14:paraId="44CECBEE" w14:textId="04E7DD2E" w:rsidR="007C1D06" w:rsidRPr="00A661AE" w:rsidRDefault="007C1D06" w:rsidP="002518E4">
            <w:pPr>
              <w:spacing w:after="0" w:line="240" w:lineRule="auto"/>
              <w:jc w:val="center"/>
              <w:rPr>
                <w:rFonts w:ascii="Times New Roman" w:eastAsia="Times New Roman" w:hAnsi="Times New Roman" w:cs="Times New Roman"/>
                <w:b/>
                <w:bCs/>
                <w:color w:val="000000"/>
                <w:sz w:val="24"/>
                <w:szCs w:val="24"/>
                <w:lang w:eastAsia="es-CR"/>
              </w:rPr>
            </w:pPr>
            <w:r w:rsidRPr="00A661AE">
              <w:rPr>
                <w:rFonts w:ascii="Times New Roman" w:eastAsia="Times New Roman" w:hAnsi="Times New Roman" w:cs="Times New Roman"/>
                <w:b/>
                <w:bCs/>
                <w:color w:val="000000"/>
                <w:sz w:val="24"/>
                <w:szCs w:val="24"/>
                <w:lang w:eastAsia="es-CR"/>
              </w:rPr>
              <w:t>Margen máximo (%)</w:t>
            </w:r>
          </w:p>
        </w:tc>
      </w:tr>
      <w:tr w:rsidR="00984760" w:rsidRPr="00A661AE" w14:paraId="4DE7DF1E" w14:textId="77777777" w:rsidTr="00350125">
        <w:trPr>
          <w:trHeight w:val="186"/>
        </w:trPr>
        <w:tc>
          <w:tcPr>
            <w:tcW w:w="3460" w:type="pct"/>
            <w:tcBorders>
              <w:top w:val="single" w:sz="4" w:space="0" w:color="auto"/>
              <w:left w:val="nil"/>
              <w:bottom w:val="nil"/>
              <w:right w:val="nil"/>
            </w:tcBorders>
            <w:shd w:val="clear" w:color="auto" w:fill="auto"/>
            <w:noWrap/>
            <w:vAlign w:val="bottom"/>
            <w:hideMark/>
          </w:tcPr>
          <w:p w14:paraId="5641F602" w14:textId="25329AB1"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Agentes que actúan sobre el sistema renina-angiotensina</w:t>
            </w:r>
          </w:p>
        </w:tc>
        <w:tc>
          <w:tcPr>
            <w:tcW w:w="770" w:type="pct"/>
            <w:tcBorders>
              <w:top w:val="single" w:sz="4" w:space="0" w:color="auto"/>
              <w:left w:val="nil"/>
              <w:bottom w:val="nil"/>
              <w:right w:val="nil"/>
            </w:tcBorders>
          </w:tcPr>
          <w:p w14:paraId="1D421ABE" w14:textId="55A40294"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EC4B63">
              <w:rPr>
                <w:rFonts w:ascii="Times New Roman" w:eastAsia="Times New Roman" w:hAnsi="Times New Roman" w:cs="Times New Roman"/>
                <w:color w:val="000000"/>
                <w:sz w:val="24"/>
                <w:szCs w:val="24"/>
                <w:lang w:eastAsia="es-CR"/>
              </w:rPr>
              <w:t>C09</w:t>
            </w:r>
          </w:p>
        </w:tc>
        <w:tc>
          <w:tcPr>
            <w:tcW w:w="770" w:type="pct"/>
            <w:tcBorders>
              <w:top w:val="single" w:sz="4" w:space="0" w:color="auto"/>
              <w:left w:val="nil"/>
              <w:bottom w:val="nil"/>
              <w:right w:val="nil"/>
            </w:tcBorders>
            <w:shd w:val="clear" w:color="000000" w:fill="FFFFFF"/>
            <w:noWrap/>
            <w:vAlign w:val="bottom"/>
            <w:hideMark/>
          </w:tcPr>
          <w:p w14:paraId="3B877C2D" w14:textId="42965B87"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36,0</w:t>
            </w:r>
          </w:p>
        </w:tc>
      </w:tr>
      <w:tr w:rsidR="00984760" w:rsidRPr="00A661AE" w14:paraId="4409AA46" w14:textId="77777777" w:rsidTr="00350125">
        <w:trPr>
          <w:trHeight w:val="288"/>
        </w:trPr>
        <w:tc>
          <w:tcPr>
            <w:tcW w:w="3460" w:type="pct"/>
            <w:tcBorders>
              <w:top w:val="nil"/>
              <w:left w:val="nil"/>
              <w:bottom w:val="nil"/>
              <w:right w:val="nil"/>
            </w:tcBorders>
            <w:shd w:val="clear" w:color="auto" w:fill="auto"/>
            <w:noWrap/>
            <w:vAlign w:val="bottom"/>
            <w:hideMark/>
          </w:tcPr>
          <w:p w14:paraId="1E7B5BF8" w14:textId="591330A7"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Analgésicos</w:t>
            </w:r>
          </w:p>
        </w:tc>
        <w:tc>
          <w:tcPr>
            <w:tcW w:w="770" w:type="pct"/>
            <w:tcBorders>
              <w:top w:val="nil"/>
              <w:left w:val="nil"/>
              <w:bottom w:val="nil"/>
              <w:right w:val="nil"/>
            </w:tcBorders>
          </w:tcPr>
          <w:p w14:paraId="45501CA9" w14:textId="1003C6C7"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EC4B63">
              <w:rPr>
                <w:rFonts w:ascii="Times New Roman" w:eastAsia="Times New Roman" w:hAnsi="Times New Roman" w:cs="Times New Roman"/>
                <w:color w:val="000000"/>
                <w:sz w:val="24"/>
                <w:szCs w:val="24"/>
                <w:lang w:eastAsia="es-CR"/>
              </w:rPr>
              <w:t>N02</w:t>
            </w:r>
          </w:p>
        </w:tc>
        <w:tc>
          <w:tcPr>
            <w:tcW w:w="770" w:type="pct"/>
            <w:tcBorders>
              <w:top w:val="nil"/>
              <w:left w:val="nil"/>
              <w:bottom w:val="nil"/>
              <w:right w:val="nil"/>
            </w:tcBorders>
            <w:shd w:val="clear" w:color="000000" w:fill="FFFFFF"/>
            <w:noWrap/>
            <w:vAlign w:val="bottom"/>
            <w:hideMark/>
          </w:tcPr>
          <w:p w14:paraId="7D8403B8" w14:textId="0C08B68E"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36,5</w:t>
            </w:r>
          </w:p>
        </w:tc>
      </w:tr>
      <w:tr w:rsidR="00984760" w:rsidRPr="00A661AE" w14:paraId="7AC7A566" w14:textId="77777777" w:rsidTr="00350125">
        <w:trPr>
          <w:trHeight w:val="288"/>
        </w:trPr>
        <w:tc>
          <w:tcPr>
            <w:tcW w:w="3460" w:type="pct"/>
            <w:tcBorders>
              <w:top w:val="nil"/>
              <w:left w:val="nil"/>
              <w:bottom w:val="nil"/>
              <w:right w:val="nil"/>
            </w:tcBorders>
            <w:shd w:val="clear" w:color="auto" w:fill="auto"/>
            <w:noWrap/>
            <w:vAlign w:val="bottom"/>
            <w:hideMark/>
          </w:tcPr>
          <w:p w14:paraId="3DFCE5CC" w14:textId="42F9CED1"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Preparaciones antiacné</w:t>
            </w:r>
          </w:p>
        </w:tc>
        <w:tc>
          <w:tcPr>
            <w:tcW w:w="770" w:type="pct"/>
            <w:tcBorders>
              <w:top w:val="nil"/>
              <w:left w:val="nil"/>
              <w:bottom w:val="nil"/>
              <w:right w:val="nil"/>
            </w:tcBorders>
          </w:tcPr>
          <w:p w14:paraId="145CE531" w14:textId="7BED800E"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EC4B63">
              <w:rPr>
                <w:rFonts w:ascii="Times New Roman" w:eastAsia="Times New Roman" w:hAnsi="Times New Roman" w:cs="Times New Roman"/>
                <w:color w:val="000000"/>
                <w:sz w:val="24"/>
                <w:szCs w:val="24"/>
                <w:lang w:eastAsia="es-CR"/>
              </w:rPr>
              <w:t>D10</w:t>
            </w:r>
          </w:p>
        </w:tc>
        <w:tc>
          <w:tcPr>
            <w:tcW w:w="770" w:type="pct"/>
            <w:tcBorders>
              <w:top w:val="nil"/>
              <w:left w:val="nil"/>
              <w:bottom w:val="nil"/>
              <w:right w:val="nil"/>
            </w:tcBorders>
            <w:shd w:val="clear" w:color="000000" w:fill="FFFFFF"/>
            <w:noWrap/>
            <w:vAlign w:val="bottom"/>
            <w:hideMark/>
          </w:tcPr>
          <w:p w14:paraId="2A0898FB" w14:textId="2D684647"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29,5 </w:t>
            </w:r>
          </w:p>
        </w:tc>
      </w:tr>
      <w:tr w:rsidR="00984760" w:rsidRPr="00A661AE" w14:paraId="14C3E94E" w14:textId="77777777" w:rsidTr="00350125">
        <w:trPr>
          <w:trHeight w:val="288"/>
        </w:trPr>
        <w:tc>
          <w:tcPr>
            <w:tcW w:w="3460" w:type="pct"/>
            <w:tcBorders>
              <w:top w:val="nil"/>
              <w:left w:val="nil"/>
              <w:bottom w:val="nil"/>
              <w:right w:val="nil"/>
            </w:tcBorders>
            <w:shd w:val="clear" w:color="auto" w:fill="auto"/>
            <w:noWrap/>
            <w:vAlign w:val="bottom"/>
            <w:hideMark/>
          </w:tcPr>
          <w:p w14:paraId="36304276" w14:textId="7FF2A1AA"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Preparaciones </w:t>
            </w:r>
            <w:proofErr w:type="spellStart"/>
            <w:r w:rsidRPr="00A661AE">
              <w:rPr>
                <w:rFonts w:ascii="Times New Roman" w:eastAsia="Times New Roman" w:hAnsi="Times New Roman" w:cs="Times New Roman"/>
                <w:color w:val="000000"/>
                <w:sz w:val="24"/>
                <w:szCs w:val="24"/>
                <w:lang w:eastAsia="es-CR"/>
              </w:rPr>
              <w:t>antianémicas</w:t>
            </w:r>
            <w:proofErr w:type="spellEnd"/>
          </w:p>
        </w:tc>
        <w:tc>
          <w:tcPr>
            <w:tcW w:w="770" w:type="pct"/>
            <w:tcBorders>
              <w:top w:val="nil"/>
              <w:left w:val="nil"/>
              <w:bottom w:val="nil"/>
              <w:right w:val="nil"/>
            </w:tcBorders>
          </w:tcPr>
          <w:p w14:paraId="58F69679" w14:textId="61568907"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EC4B63">
              <w:rPr>
                <w:rFonts w:ascii="Times New Roman" w:eastAsia="Times New Roman" w:hAnsi="Times New Roman" w:cs="Times New Roman"/>
                <w:color w:val="000000"/>
                <w:sz w:val="24"/>
                <w:szCs w:val="24"/>
                <w:lang w:eastAsia="es-CR"/>
              </w:rPr>
              <w:t>B03</w:t>
            </w:r>
          </w:p>
        </w:tc>
        <w:tc>
          <w:tcPr>
            <w:tcW w:w="770" w:type="pct"/>
            <w:tcBorders>
              <w:top w:val="nil"/>
              <w:left w:val="nil"/>
              <w:bottom w:val="nil"/>
              <w:right w:val="nil"/>
            </w:tcBorders>
            <w:shd w:val="clear" w:color="000000" w:fill="FFFFFF"/>
            <w:noWrap/>
            <w:vAlign w:val="bottom"/>
            <w:hideMark/>
          </w:tcPr>
          <w:p w14:paraId="74728999" w14:textId="4AD142A5"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29,0 </w:t>
            </w:r>
          </w:p>
        </w:tc>
      </w:tr>
      <w:tr w:rsidR="00984760" w:rsidRPr="00A661AE" w14:paraId="362C62E9" w14:textId="77777777" w:rsidTr="00350125">
        <w:trPr>
          <w:trHeight w:val="288"/>
        </w:trPr>
        <w:tc>
          <w:tcPr>
            <w:tcW w:w="3460" w:type="pct"/>
            <w:tcBorders>
              <w:top w:val="nil"/>
              <w:left w:val="nil"/>
              <w:bottom w:val="nil"/>
              <w:right w:val="nil"/>
            </w:tcBorders>
            <w:shd w:val="clear" w:color="auto" w:fill="auto"/>
            <w:noWrap/>
            <w:vAlign w:val="bottom"/>
            <w:hideMark/>
          </w:tcPr>
          <w:p w14:paraId="7D95DC13" w14:textId="43546CA0"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Antibacterianos para uso sistémico</w:t>
            </w:r>
          </w:p>
        </w:tc>
        <w:tc>
          <w:tcPr>
            <w:tcW w:w="770" w:type="pct"/>
            <w:tcBorders>
              <w:top w:val="nil"/>
              <w:left w:val="nil"/>
              <w:bottom w:val="nil"/>
              <w:right w:val="nil"/>
            </w:tcBorders>
          </w:tcPr>
          <w:p w14:paraId="5E368238" w14:textId="4FD3B9C5"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EC4B63">
              <w:rPr>
                <w:rFonts w:ascii="Times New Roman" w:eastAsia="Times New Roman" w:hAnsi="Times New Roman" w:cs="Times New Roman"/>
                <w:color w:val="000000"/>
                <w:sz w:val="24"/>
                <w:szCs w:val="24"/>
                <w:lang w:eastAsia="es-CR"/>
              </w:rPr>
              <w:t>J01</w:t>
            </w:r>
          </w:p>
        </w:tc>
        <w:tc>
          <w:tcPr>
            <w:tcW w:w="770" w:type="pct"/>
            <w:tcBorders>
              <w:top w:val="nil"/>
              <w:left w:val="nil"/>
              <w:bottom w:val="nil"/>
              <w:right w:val="nil"/>
            </w:tcBorders>
            <w:shd w:val="clear" w:color="000000" w:fill="FFFFFF"/>
            <w:noWrap/>
            <w:vAlign w:val="bottom"/>
            <w:hideMark/>
          </w:tcPr>
          <w:p w14:paraId="7928C387" w14:textId="06F77455"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38,5 </w:t>
            </w:r>
          </w:p>
        </w:tc>
      </w:tr>
      <w:tr w:rsidR="00984760" w:rsidRPr="00A661AE" w14:paraId="742C28C8" w14:textId="77777777" w:rsidTr="00350125">
        <w:trPr>
          <w:trHeight w:val="288"/>
        </w:trPr>
        <w:tc>
          <w:tcPr>
            <w:tcW w:w="3460" w:type="pct"/>
            <w:tcBorders>
              <w:top w:val="nil"/>
              <w:left w:val="nil"/>
              <w:bottom w:val="nil"/>
              <w:right w:val="nil"/>
            </w:tcBorders>
            <w:shd w:val="clear" w:color="auto" w:fill="auto"/>
            <w:noWrap/>
            <w:vAlign w:val="bottom"/>
            <w:hideMark/>
          </w:tcPr>
          <w:p w14:paraId="1AC04E30" w14:textId="2A7B4D6F"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Antibióticos y quimioterapéuticos para uso dermatológico</w:t>
            </w:r>
          </w:p>
        </w:tc>
        <w:tc>
          <w:tcPr>
            <w:tcW w:w="770" w:type="pct"/>
            <w:tcBorders>
              <w:top w:val="nil"/>
              <w:left w:val="nil"/>
              <w:bottom w:val="nil"/>
              <w:right w:val="nil"/>
            </w:tcBorders>
          </w:tcPr>
          <w:p w14:paraId="528B1DC8" w14:textId="088A8772"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841609">
              <w:rPr>
                <w:rFonts w:ascii="Times New Roman" w:eastAsia="Times New Roman" w:hAnsi="Times New Roman" w:cs="Times New Roman"/>
                <w:color w:val="000000"/>
                <w:sz w:val="24"/>
                <w:szCs w:val="24"/>
                <w:lang w:eastAsia="es-CR"/>
              </w:rPr>
              <w:t>D06</w:t>
            </w:r>
          </w:p>
        </w:tc>
        <w:tc>
          <w:tcPr>
            <w:tcW w:w="770" w:type="pct"/>
            <w:tcBorders>
              <w:top w:val="nil"/>
              <w:left w:val="nil"/>
              <w:bottom w:val="nil"/>
              <w:right w:val="nil"/>
            </w:tcBorders>
            <w:shd w:val="clear" w:color="000000" w:fill="FFFFFF"/>
            <w:noWrap/>
            <w:vAlign w:val="bottom"/>
            <w:hideMark/>
          </w:tcPr>
          <w:p w14:paraId="5E844C85" w14:textId="6C2E9806"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43,5 </w:t>
            </w:r>
          </w:p>
        </w:tc>
      </w:tr>
      <w:tr w:rsidR="00984760" w:rsidRPr="00A661AE" w14:paraId="3242832A" w14:textId="77777777" w:rsidTr="00350125">
        <w:trPr>
          <w:trHeight w:val="288"/>
        </w:trPr>
        <w:tc>
          <w:tcPr>
            <w:tcW w:w="3460" w:type="pct"/>
            <w:tcBorders>
              <w:top w:val="nil"/>
              <w:left w:val="nil"/>
              <w:bottom w:val="nil"/>
              <w:right w:val="nil"/>
            </w:tcBorders>
            <w:shd w:val="clear" w:color="auto" w:fill="auto"/>
            <w:noWrap/>
            <w:vAlign w:val="bottom"/>
            <w:hideMark/>
          </w:tcPr>
          <w:p w14:paraId="6C5EC4E7" w14:textId="00EF284B"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Antidiarreicos, agentes intestinales antiinflamatorios/antiinfecciosos</w:t>
            </w:r>
          </w:p>
        </w:tc>
        <w:tc>
          <w:tcPr>
            <w:tcW w:w="770" w:type="pct"/>
            <w:tcBorders>
              <w:top w:val="nil"/>
              <w:left w:val="nil"/>
              <w:bottom w:val="nil"/>
              <w:right w:val="nil"/>
            </w:tcBorders>
          </w:tcPr>
          <w:p w14:paraId="7D6B5290" w14:textId="457AE1D4"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841609">
              <w:rPr>
                <w:rFonts w:ascii="Times New Roman" w:eastAsia="Times New Roman" w:hAnsi="Times New Roman" w:cs="Times New Roman"/>
                <w:color w:val="000000"/>
                <w:sz w:val="24"/>
                <w:szCs w:val="24"/>
                <w:lang w:eastAsia="es-CR"/>
              </w:rPr>
              <w:t>A07</w:t>
            </w:r>
          </w:p>
        </w:tc>
        <w:tc>
          <w:tcPr>
            <w:tcW w:w="770" w:type="pct"/>
            <w:tcBorders>
              <w:top w:val="nil"/>
              <w:left w:val="nil"/>
              <w:bottom w:val="nil"/>
              <w:right w:val="nil"/>
            </w:tcBorders>
            <w:shd w:val="clear" w:color="000000" w:fill="FFFFFF"/>
            <w:noWrap/>
            <w:vAlign w:val="bottom"/>
            <w:hideMark/>
          </w:tcPr>
          <w:p w14:paraId="0AB4D1D3" w14:textId="3E026862"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33,5 </w:t>
            </w:r>
          </w:p>
        </w:tc>
      </w:tr>
      <w:tr w:rsidR="00984760" w:rsidRPr="00A661AE" w14:paraId="6A8B8935" w14:textId="77777777" w:rsidTr="00350125">
        <w:trPr>
          <w:trHeight w:val="288"/>
        </w:trPr>
        <w:tc>
          <w:tcPr>
            <w:tcW w:w="3460" w:type="pct"/>
            <w:tcBorders>
              <w:top w:val="nil"/>
              <w:left w:val="nil"/>
              <w:bottom w:val="nil"/>
              <w:right w:val="nil"/>
            </w:tcBorders>
            <w:shd w:val="clear" w:color="auto" w:fill="auto"/>
            <w:noWrap/>
            <w:vAlign w:val="bottom"/>
            <w:hideMark/>
          </w:tcPr>
          <w:p w14:paraId="63F8A285" w14:textId="7E30DDD8"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Antieméticos y </w:t>
            </w:r>
            <w:proofErr w:type="spellStart"/>
            <w:r w:rsidRPr="00A661AE">
              <w:rPr>
                <w:rFonts w:ascii="Times New Roman" w:eastAsia="Times New Roman" w:hAnsi="Times New Roman" w:cs="Times New Roman"/>
                <w:color w:val="000000"/>
                <w:sz w:val="24"/>
                <w:szCs w:val="24"/>
                <w:lang w:eastAsia="es-CR"/>
              </w:rPr>
              <w:t>antinauseosos</w:t>
            </w:r>
            <w:proofErr w:type="spellEnd"/>
          </w:p>
        </w:tc>
        <w:tc>
          <w:tcPr>
            <w:tcW w:w="770" w:type="pct"/>
            <w:tcBorders>
              <w:top w:val="nil"/>
              <w:left w:val="nil"/>
              <w:bottom w:val="nil"/>
              <w:right w:val="nil"/>
            </w:tcBorders>
          </w:tcPr>
          <w:p w14:paraId="78A72007" w14:textId="16364B73"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841609">
              <w:rPr>
                <w:rFonts w:ascii="Times New Roman" w:eastAsia="Times New Roman" w:hAnsi="Times New Roman" w:cs="Times New Roman"/>
                <w:color w:val="000000"/>
                <w:sz w:val="24"/>
                <w:szCs w:val="24"/>
                <w:lang w:eastAsia="es-CR"/>
              </w:rPr>
              <w:t>A04</w:t>
            </w:r>
          </w:p>
        </w:tc>
        <w:tc>
          <w:tcPr>
            <w:tcW w:w="770" w:type="pct"/>
            <w:tcBorders>
              <w:top w:val="nil"/>
              <w:left w:val="nil"/>
              <w:bottom w:val="nil"/>
              <w:right w:val="nil"/>
            </w:tcBorders>
            <w:shd w:val="clear" w:color="000000" w:fill="FFFFFF"/>
            <w:noWrap/>
            <w:vAlign w:val="bottom"/>
            <w:hideMark/>
          </w:tcPr>
          <w:p w14:paraId="547FB749" w14:textId="194B4BC9"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35,5 </w:t>
            </w:r>
          </w:p>
        </w:tc>
      </w:tr>
      <w:tr w:rsidR="00984760" w:rsidRPr="00A661AE" w14:paraId="62E9B480" w14:textId="77777777" w:rsidTr="00350125">
        <w:trPr>
          <w:trHeight w:val="288"/>
        </w:trPr>
        <w:tc>
          <w:tcPr>
            <w:tcW w:w="3460" w:type="pct"/>
            <w:tcBorders>
              <w:top w:val="nil"/>
              <w:left w:val="nil"/>
              <w:bottom w:val="nil"/>
              <w:right w:val="nil"/>
            </w:tcBorders>
            <w:shd w:val="clear" w:color="auto" w:fill="auto"/>
            <w:noWrap/>
            <w:vAlign w:val="bottom"/>
            <w:hideMark/>
          </w:tcPr>
          <w:p w14:paraId="262B0B73" w14:textId="6D532BEB"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Antiepilépticos</w:t>
            </w:r>
          </w:p>
        </w:tc>
        <w:tc>
          <w:tcPr>
            <w:tcW w:w="770" w:type="pct"/>
            <w:tcBorders>
              <w:top w:val="nil"/>
              <w:left w:val="nil"/>
              <w:bottom w:val="nil"/>
              <w:right w:val="nil"/>
            </w:tcBorders>
          </w:tcPr>
          <w:p w14:paraId="03094B62" w14:textId="3BF92E8E"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841609">
              <w:rPr>
                <w:rFonts w:ascii="Times New Roman" w:eastAsia="Times New Roman" w:hAnsi="Times New Roman" w:cs="Times New Roman"/>
                <w:color w:val="000000"/>
                <w:sz w:val="24"/>
                <w:szCs w:val="24"/>
                <w:lang w:eastAsia="es-CR"/>
              </w:rPr>
              <w:t>N03</w:t>
            </w:r>
          </w:p>
        </w:tc>
        <w:tc>
          <w:tcPr>
            <w:tcW w:w="770" w:type="pct"/>
            <w:tcBorders>
              <w:top w:val="nil"/>
              <w:left w:val="nil"/>
              <w:bottom w:val="nil"/>
              <w:right w:val="nil"/>
            </w:tcBorders>
            <w:shd w:val="clear" w:color="000000" w:fill="FFFFFF"/>
            <w:noWrap/>
            <w:vAlign w:val="bottom"/>
            <w:hideMark/>
          </w:tcPr>
          <w:p w14:paraId="5C62FF8F" w14:textId="3E84ADB8"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40,5 </w:t>
            </w:r>
          </w:p>
        </w:tc>
      </w:tr>
      <w:tr w:rsidR="00984760" w:rsidRPr="00A661AE" w14:paraId="63A5A4F0" w14:textId="77777777" w:rsidTr="00350125">
        <w:trPr>
          <w:trHeight w:val="288"/>
        </w:trPr>
        <w:tc>
          <w:tcPr>
            <w:tcW w:w="3460" w:type="pct"/>
            <w:tcBorders>
              <w:top w:val="nil"/>
              <w:left w:val="nil"/>
              <w:bottom w:val="nil"/>
              <w:right w:val="nil"/>
            </w:tcBorders>
            <w:shd w:val="clear" w:color="auto" w:fill="auto"/>
            <w:noWrap/>
            <w:vAlign w:val="bottom"/>
            <w:hideMark/>
          </w:tcPr>
          <w:p w14:paraId="727027A6" w14:textId="08FFB60E"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Antihistamínicos para uso sistémico</w:t>
            </w:r>
          </w:p>
        </w:tc>
        <w:tc>
          <w:tcPr>
            <w:tcW w:w="770" w:type="pct"/>
            <w:tcBorders>
              <w:top w:val="nil"/>
              <w:left w:val="nil"/>
              <w:bottom w:val="nil"/>
              <w:right w:val="nil"/>
            </w:tcBorders>
          </w:tcPr>
          <w:p w14:paraId="3606E5F8" w14:textId="617BC4C4"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841609">
              <w:rPr>
                <w:rFonts w:ascii="Times New Roman" w:eastAsia="Times New Roman" w:hAnsi="Times New Roman" w:cs="Times New Roman"/>
                <w:color w:val="000000"/>
                <w:sz w:val="24"/>
                <w:szCs w:val="24"/>
                <w:lang w:eastAsia="es-CR"/>
              </w:rPr>
              <w:t>R06</w:t>
            </w:r>
          </w:p>
        </w:tc>
        <w:tc>
          <w:tcPr>
            <w:tcW w:w="770" w:type="pct"/>
            <w:tcBorders>
              <w:top w:val="nil"/>
              <w:left w:val="nil"/>
              <w:bottom w:val="nil"/>
              <w:right w:val="nil"/>
            </w:tcBorders>
            <w:shd w:val="clear" w:color="000000" w:fill="FFFFFF"/>
            <w:noWrap/>
            <w:vAlign w:val="bottom"/>
            <w:hideMark/>
          </w:tcPr>
          <w:p w14:paraId="53AE09B5" w14:textId="169D926C"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39,5 </w:t>
            </w:r>
          </w:p>
        </w:tc>
      </w:tr>
      <w:tr w:rsidR="00984760" w:rsidRPr="00A661AE" w14:paraId="17A62515" w14:textId="77777777" w:rsidTr="00350125">
        <w:trPr>
          <w:trHeight w:val="288"/>
        </w:trPr>
        <w:tc>
          <w:tcPr>
            <w:tcW w:w="3460" w:type="pct"/>
            <w:tcBorders>
              <w:top w:val="nil"/>
              <w:left w:val="nil"/>
              <w:bottom w:val="nil"/>
              <w:right w:val="nil"/>
            </w:tcBorders>
            <w:shd w:val="clear" w:color="auto" w:fill="auto"/>
            <w:noWrap/>
            <w:vAlign w:val="bottom"/>
            <w:hideMark/>
          </w:tcPr>
          <w:p w14:paraId="51618270" w14:textId="44AC8FA6"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Productos antiinflamatorios y antirreumáticos</w:t>
            </w:r>
          </w:p>
        </w:tc>
        <w:tc>
          <w:tcPr>
            <w:tcW w:w="770" w:type="pct"/>
            <w:tcBorders>
              <w:top w:val="nil"/>
              <w:left w:val="nil"/>
              <w:bottom w:val="nil"/>
              <w:right w:val="nil"/>
            </w:tcBorders>
          </w:tcPr>
          <w:p w14:paraId="468203E9" w14:textId="64388278"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M01</w:t>
            </w:r>
          </w:p>
        </w:tc>
        <w:tc>
          <w:tcPr>
            <w:tcW w:w="770" w:type="pct"/>
            <w:tcBorders>
              <w:top w:val="nil"/>
              <w:left w:val="nil"/>
              <w:bottom w:val="nil"/>
              <w:right w:val="nil"/>
            </w:tcBorders>
            <w:shd w:val="clear" w:color="000000" w:fill="FFFFFF"/>
            <w:noWrap/>
            <w:vAlign w:val="bottom"/>
            <w:hideMark/>
          </w:tcPr>
          <w:p w14:paraId="24D5EA2A" w14:textId="41B1366E"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34,5 </w:t>
            </w:r>
          </w:p>
        </w:tc>
      </w:tr>
      <w:tr w:rsidR="00984760" w:rsidRPr="00A661AE" w14:paraId="7E534B8E" w14:textId="77777777" w:rsidTr="00350125">
        <w:trPr>
          <w:trHeight w:val="288"/>
        </w:trPr>
        <w:tc>
          <w:tcPr>
            <w:tcW w:w="3460" w:type="pct"/>
            <w:tcBorders>
              <w:top w:val="nil"/>
              <w:left w:val="nil"/>
              <w:bottom w:val="nil"/>
              <w:right w:val="nil"/>
            </w:tcBorders>
            <w:shd w:val="clear" w:color="auto" w:fill="auto"/>
            <w:noWrap/>
            <w:vAlign w:val="bottom"/>
            <w:hideMark/>
          </w:tcPr>
          <w:p w14:paraId="3756A5F9" w14:textId="6EF0F316"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Antimicóticos para uso sistémico</w:t>
            </w:r>
          </w:p>
        </w:tc>
        <w:tc>
          <w:tcPr>
            <w:tcW w:w="770" w:type="pct"/>
            <w:tcBorders>
              <w:top w:val="nil"/>
              <w:left w:val="nil"/>
              <w:bottom w:val="nil"/>
              <w:right w:val="nil"/>
            </w:tcBorders>
          </w:tcPr>
          <w:p w14:paraId="26F14053" w14:textId="66F22BAE"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J02</w:t>
            </w:r>
          </w:p>
        </w:tc>
        <w:tc>
          <w:tcPr>
            <w:tcW w:w="770" w:type="pct"/>
            <w:tcBorders>
              <w:top w:val="nil"/>
              <w:left w:val="nil"/>
              <w:bottom w:val="nil"/>
              <w:right w:val="nil"/>
            </w:tcBorders>
            <w:shd w:val="clear" w:color="000000" w:fill="FFFFFF"/>
            <w:noWrap/>
            <w:vAlign w:val="bottom"/>
            <w:hideMark/>
          </w:tcPr>
          <w:p w14:paraId="122A0725" w14:textId="04DCD558"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37,0 </w:t>
            </w:r>
          </w:p>
        </w:tc>
      </w:tr>
      <w:tr w:rsidR="00984760" w:rsidRPr="00A661AE" w14:paraId="0F1D2882" w14:textId="77777777" w:rsidTr="00350125">
        <w:trPr>
          <w:trHeight w:val="288"/>
        </w:trPr>
        <w:tc>
          <w:tcPr>
            <w:tcW w:w="3460" w:type="pct"/>
            <w:tcBorders>
              <w:top w:val="nil"/>
              <w:left w:val="nil"/>
              <w:bottom w:val="nil"/>
              <w:right w:val="nil"/>
            </w:tcBorders>
            <w:shd w:val="clear" w:color="auto" w:fill="auto"/>
            <w:noWrap/>
            <w:vAlign w:val="bottom"/>
            <w:hideMark/>
          </w:tcPr>
          <w:p w14:paraId="28C1D2F6" w14:textId="1A9DC4B3"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Agentes antineoplásicos</w:t>
            </w:r>
          </w:p>
        </w:tc>
        <w:tc>
          <w:tcPr>
            <w:tcW w:w="770" w:type="pct"/>
            <w:tcBorders>
              <w:top w:val="nil"/>
              <w:left w:val="nil"/>
              <w:bottom w:val="nil"/>
              <w:right w:val="nil"/>
            </w:tcBorders>
          </w:tcPr>
          <w:p w14:paraId="22B8B466" w14:textId="7382963D"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L01</w:t>
            </w:r>
          </w:p>
        </w:tc>
        <w:tc>
          <w:tcPr>
            <w:tcW w:w="770" w:type="pct"/>
            <w:tcBorders>
              <w:top w:val="nil"/>
              <w:left w:val="nil"/>
              <w:bottom w:val="nil"/>
              <w:right w:val="nil"/>
            </w:tcBorders>
            <w:shd w:val="clear" w:color="000000" w:fill="FFFFFF"/>
            <w:noWrap/>
            <w:vAlign w:val="bottom"/>
            <w:hideMark/>
          </w:tcPr>
          <w:p w14:paraId="2EC6DD8B" w14:textId="103D8234"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25,0 </w:t>
            </w:r>
          </w:p>
        </w:tc>
      </w:tr>
      <w:tr w:rsidR="00984760" w:rsidRPr="00A661AE" w14:paraId="085B19AF" w14:textId="77777777" w:rsidTr="00350125">
        <w:trPr>
          <w:trHeight w:val="288"/>
        </w:trPr>
        <w:tc>
          <w:tcPr>
            <w:tcW w:w="3460" w:type="pct"/>
            <w:tcBorders>
              <w:top w:val="nil"/>
              <w:left w:val="nil"/>
              <w:bottom w:val="nil"/>
              <w:right w:val="nil"/>
            </w:tcBorders>
            <w:shd w:val="clear" w:color="auto" w:fill="auto"/>
            <w:noWrap/>
            <w:vAlign w:val="bottom"/>
            <w:hideMark/>
          </w:tcPr>
          <w:p w14:paraId="6096BC88" w14:textId="39EFEDE3"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Preparaciones </w:t>
            </w:r>
            <w:proofErr w:type="spellStart"/>
            <w:r w:rsidRPr="00A661AE">
              <w:rPr>
                <w:rFonts w:ascii="Times New Roman" w:eastAsia="Times New Roman" w:hAnsi="Times New Roman" w:cs="Times New Roman"/>
                <w:color w:val="000000"/>
                <w:sz w:val="24"/>
                <w:szCs w:val="24"/>
                <w:lang w:eastAsia="es-CR"/>
              </w:rPr>
              <w:t>antiobesidad</w:t>
            </w:r>
            <w:proofErr w:type="spellEnd"/>
            <w:r w:rsidRPr="00A661AE">
              <w:rPr>
                <w:rFonts w:ascii="Times New Roman" w:eastAsia="Times New Roman" w:hAnsi="Times New Roman" w:cs="Times New Roman"/>
                <w:color w:val="000000"/>
                <w:sz w:val="24"/>
                <w:szCs w:val="24"/>
                <w:lang w:eastAsia="es-CR"/>
              </w:rPr>
              <w:t>, excluyendo productos dietéticos</w:t>
            </w:r>
          </w:p>
        </w:tc>
        <w:tc>
          <w:tcPr>
            <w:tcW w:w="770" w:type="pct"/>
            <w:tcBorders>
              <w:top w:val="nil"/>
              <w:left w:val="nil"/>
              <w:bottom w:val="nil"/>
              <w:right w:val="nil"/>
            </w:tcBorders>
          </w:tcPr>
          <w:p w14:paraId="0888C87A" w14:textId="73CA8ECE"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A08</w:t>
            </w:r>
          </w:p>
        </w:tc>
        <w:tc>
          <w:tcPr>
            <w:tcW w:w="770" w:type="pct"/>
            <w:tcBorders>
              <w:top w:val="nil"/>
              <w:left w:val="nil"/>
              <w:bottom w:val="nil"/>
              <w:right w:val="nil"/>
            </w:tcBorders>
            <w:shd w:val="clear" w:color="000000" w:fill="FFFFFF"/>
            <w:noWrap/>
            <w:vAlign w:val="bottom"/>
            <w:hideMark/>
          </w:tcPr>
          <w:p w14:paraId="11CB891F" w14:textId="22ED66AD"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33,5 </w:t>
            </w:r>
          </w:p>
        </w:tc>
      </w:tr>
      <w:tr w:rsidR="00984760" w:rsidRPr="00A661AE" w14:paraId="31B48A44" w14:textId="77777777" w:rsidTr="00350125">
        <w:trPr>
          <w:trHeight w:val="288"/>
        </w:trPr>
        <w:tc>
          <w:tcPr>
            <w:tcW w:w="3460" w:type="pct"/>
            <w:tcBorders>
              <w:top w:val="nil"/>
              <w:left w:val="nil"/>
              <w:bottom w:val="nil"/>
              <w:right w:val="nil"/>
            </w:tcBorders>
            <w:shd w:val="clear" w:color="auto" w:fill="auto"/>
            <w:noWrap/>
            <w:vAlign w:val="bottom"/>
            <w:hideMark/>
          </w:tcPr>
          <w:p w14:paraId="795C979A" w14:textId="47D448F2"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Agentes antitrombóticos</w:t>
            </w:r>
          </w:p>
        </w:tc>
        <w:tc>
          <w:tcPr>
            <w:tcW w:w="770" w:type="pct"/>
            <w:tcBorders>
              <w:top w:val="nil"/>
              <w:left w:val="nil"/>
              <w:bottom w:val="nil"/>
              <w:right w:val="nil"/>
            </w:tcBorders>
          </w:tcPr>
          <w:p w14:paraId="76C40EE1" w14:textId="3CD55D5D"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B01</w:t>
            </w:r>
          </w:p>
        </w:tc>
        <w:tc>
          <w:tcPr>
            <w:tcW w:w="770" w:type="pct"/>
            <w:tcBorders>
              <w:top w:val="nil"/>
              <w:left w:val="nil"/>
              <w:bottom w:val="nil"/>
              <w:right w:val="nil"/>
            </w:tcBorders>
            <w:shd w:val="clear" w:color="000000" w:fill="FFFFFF"/>
            <w:noWrap/>
            <w:vAlign w:val="bottom"/>
            <w:hideMark/>
          </w:tcPr>
          <w:p w14:paraId="7030ECE6" w14:textId="027FAAB2"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29,5 </w:t>
            </w:r>
          </w:p>
        </w:tc>
      </w:tr>
      <w:tr w:rsidR="00984760" w:rsidRPr="00A661AE" w14:paraId="7967B8F5" w14:textId="77777777" w:rsidTr="00350125">
        <w:trPr>
          <w:trHeight w:val="288"/>
        </w:trPr>
        <w:tc>
          <w:tcPr>
            <w:tcW w:w="3460" w:type="pct"/>
            <w:tcBorders>
              <w:top w:val="nil"/>
              <w:left w:val="nil"/>
              <w:bottom w:val="nil"/>
              <w:right w:val="nil"/>
            </w:tcBorders>
            <w:shd w:val="clear" w:color="auto" w:fill="auto"/>
            <w:noWrap/>
            <w:vAlign w:val="bottom"/>
            <w:hideMark/>
          </w:tcPr>
          <w:p w14:paraId="4BEBD6EF" w14:textId="73DAB569"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Antivirales para uso sistémico</w:t>
            </w:r>
          </w:p>
        </w:tc>
        <w:tc>
          <w:tcPr>
            <w:tcW w:w="770" w:type="pct"/>
            <w:tcBorders>
              <w:top w:val="nil"/>
              <w:left w:val="nil"/>
              <w:bottom w:val="nil"/>
              <w:right w:val="nil"/>
            </w:tcBorders>
          </w:tcPr>
          <w:p w14:paraId="5B33B83E" w14:textId="606B7B3F"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J05</w:t>
            </w:r>
          </w:p>
        </w:tc>
        <w:tc>
          <w:tcPr>
            <w:tcW w:w="770" w:type="pct"/>
            <w:tcBorders>
              <w:top w:val="nil"/>
              <w:left w:val="nil"/>
              <w:bottom w:val="nil"/>
              <w:right w:val="nil"/>
            </w:tcBorders>
            <w:shd w:val="clear" w:color="000000" w:fill="FFFFFF"/>
            <w:noWrap/>
            <w:vAlign w:val="bottom"/>
            <w:hideMark/>
          </w:tcPr>
          <w:p w14:paraId="31A17B06" w14:textId="5A7BD1FD"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33,5 </w:t>
            </w:r>
          </w:p>
        </w:tc>
      </w:tr>
      <w:tr w:rsidR="00984760" w:rsidRPr="00A661AE" w14:paraId="41FE3C77" w14:textId="77777777" w:rsidTr="00350125">
        <w:trPr>
          <w:trHeight w:val="288"/>
        </w:trPr>
        <w:tc>
          <w:tcPr>
            <w:tcW w:w="3460" w:type="pct"/>
            <w:tcBorders>
              <w:top w:val="nil"/>
              <w:left w:val="nil"/>
              <w:bottom w:val="nil"/>
              <w:right w:val="nil"/>
            </w:tcBorders>
            <w:shd w:val="clear" w:color="auto" w:fill="auto"/>
            <w:noWrap/>
            <w:vAlign w:val="bottom"/>
            <w:hideMark/>
          </w:tcPr>
          <w:p w14:paraId="6A0E9390" w14:textId="18BC2F69"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Agentes bloqueadores beta</w:t>
            </w:r>
          </w:p>
        </w:tc>
        <w:tc>
          <w:tcPr>
            <w:tcW w:w="770" w:type="pct"/>
            <w:tcBorders>
              <w:top w:val="nil"/>
              <w:left w:val="nil"/>
              <w:bottom w:val="nil"/>
              <w:right w:val="nil"/>
            </w:tcBorders>
          </w:tcPr>
          <w:p w14:paraId="4DA970B1" w14:textId="1663FE26"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C07</w:t>
            </w:r>
          </w:p>
        </w:tc>
        <w:tc>
          <w:tcPr>
            <w:tcW w:w="770" w:type="pct"/>
            <w:tcBorders>
              <w:top w:val="nil"/>
              <w:left w:val="nil"/>
              <w:bottom w:val="nil"/>
              <w:right w:val="nil"/>
            </w:tcBorders>
            <w:shd w:val="clear" w:color="000000" w:fill="FFFFFF"/>
            <w:noWrap/>
            <w:vAlign w:val="bottom"/>
            <w:hideMark/>
          </w:tcPr>
          <w:p w14:paraId="4C3FD899" w14:textId="6A2FFA7D"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34,5 </w:t>
            </w:r>
          </w:p>
        </w:tc>
      </w:tr>
      <w:tr w:rsidR="00984760" w:rsidRPr="00A661AE" w14:paraId="6232B22A" w14:textId="77777777" w:rsidTr="00350125">
        <w:trPr>
          <w:trHeight w:val="288"/>
        </w:trPr>
        <w:tc>
          <w:tcPr>
            <w:tcW w:w="3460" w:type="pct"/>
            <w:tcBorders>
              <w:top w:val="nil"/>
              <w:left w:val="nil"/>
              <w:bottom w:val="nil"/>
              <w:right w:val="nil"/>
            </w:tcBorders>
            <w:shd w:val="clear" w:color="auto" w:fill="auto"/>
            <w:noWrap/>
            <w:vAlign w:val="bottom"/>
            <w:hideMark/>
          </w:tcPr>
          <w:p w14:paraId="7010BA76" w14:textId="4768C777"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Terapia cardíaca</w:t>
            </w:r>
          </w:p>
        </w:tc>
        <w:tc>
          <w:tcPr>
            <w:tcW w:w="770" w:type="pct"/>
            <w:tcBorders>
              <w:top w:val="nil"/>
              <w:left w:val="nil"/>
              <w:bottom w:val="nil"/>
              <w:right w:val="nil"/>
            </w:tcBorders>
          </w:tcPr>
          <w:p w14:paraId="7078FC58" w14:textId="1519BE9D"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C01</w:t>
            </w:r>
          </w:p>
        </w:tc>
        <w:tc>
          <w:tcPr>
            <w:tcW w:w="770" w:type="pct"/>
            <w:tcBorders>
              <w:top w:val="nil"/>
              <w:left w:val="nil"/>
              <w:bottom w:val="nil"/>
              <w:right w:val="nil"/>
            </w:tcBorders>
            <w:shd w:val="clear" w:color="000000" w:fill="FFFFFF"/>
            <w:noWrap/>
            <w:vAlign w:val="bottom"/>
            <w:hideMark/>
          </w:tcPr>
          <w:p w14:paraId="4CCE46B0" w14:textId="785503A0"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35,0 </w:t>
            </w:r>
          </w:p>
        </w:tc>
      </w:tr>
      <w:tr w:rsidR="00984760" w:rsidRPr="00A661AE" w14:paraId="3418A240" w14:textId="77777777" w:rsidTr="00350125">
        <w:trPr>
          <w:trHeight w:val="288"/>
        </w:trPr>
        <w:tc>
          <w:tcPr>
            <w:tcW w:w="3460" w:type="pct"/>
            <w:tcBorders>
              <w:top w:val="nil"/>
              <w:left w:val="nil"/>
              <w:bottom w:val="nil"/>
              <w:right w:val="nil"/>
            </w:tcBorders>
            <w:shd w:val="clear" w:color="auto" w:fill="auto"/>
            <w:noWrap/>
            <w:vAlign w:val="bottom"/>
            <w:hideMark/>
          </w:tcPr>
          <w:p w14:paraId="1EE4B38D" w14:textId="0A6F26B9"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Corticoesteroides para uso sistémico</w:t>
            </w:r>
          </w:p>
        </w:tc>
        <w:tc>
          <w:tcPr>
            <w:tcW w:w="770" w:type="pct"/>
            <w:tcBorders>
              <w:top w:val="nil"/>
              <w:left w:val="nil"/>
              <w:bottom w:val="nil"/>
              <w:right w:val="nil"/>
            </w:tcBorders>
          </w:tcPr>
          <w:p w14:paraId="7B593A62" w14:textId="17B25977"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H02</w:t>
            </w:r>
          </w:p>
        </w:tc>
        <w:tc>
          <w:tcPr>
            <w:tcW w:w="770" w:type="pct"/>
            <w:tcBorders>
              <w:top w:val="nil"/>
              <w:left w:val="nil"/>
              <w:bottom w:val="nil"/>
              <w:right w:val="nil"/>
            </w:tcBorders>
            <w:shd w:val="clear" w:color="000000" w:fill="FFFFFF"/>
            <w:noWrap/>
            <w:vAlign w:val="bottom"/>
            <w:hideMark/>
          </w:tcPr>
          <w:p w14:paraId="46C8E3F1" w14:textId="6C75B979"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33,5 </w:t>
            </w:r>
          </w:p>
        </w:tc>
      </w:tr>
      <w:tr w:rsidR="00984760" w:rsidRPr="00A661AE" w14:paraId="2BB13B93" w14:textId="77777777" w:rsidTr="00350125">
        <w:trPr>
          <w:trHeight w:val="288"/>
        </w:trPr>
        <w:tc>
          <w:tcPr>
            <w:tcW w:w="3460" w:type="pct"/>
            <w:tcBorders>
              <w:top w:val="nil"/>
              <w:left w:val="nil"/>
              <w:bottom w:val="nil"/>
              <w:right w:val="nil"/>
            </w:tcBorders>
            <w:shd w:val="clear" w:color="auto" w:fill="auto"/>
            <w:noWrap/>
            <w:vAlign w:val="bottom"/>
            <w:hideMark/>
          </w:tcPr>
          <w:p w14:paraId="7F8AB363" w14:textId="07DB00EE"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Corticoesteroides, preparaciones dermatológicas</w:t>
            </w:r>
          </w:p>
        </w:tc>
        <w:tc>
          <w:tcPr>
            <w:tcW w:w="770" w:type="pct"/>
            <w:tcBorders>
              <w:top w:val="nil"/>
              <w:left w:val="nil"/>
              <w:bottom w:val="nil"/>
              <w:right w:val="nil"/>
            </w:tcBorders>
          </w:tcPr>
          <w:p w14:paraId="0F4E4B00" w14:textId="301EE833"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D07</w:t>
            </w:r>
          </w:p>
        </w:tc>
        <w:tc>
          <w:tcPr>
            <w:tcW w:w="770" w:type="pct"/>
            <w:tcBorders>
              <w:top w:val="nil"/>
              <w:left w:val="nil"/>
              <w:bottom w:val="nil"/>
              <w:right w:val="nil"/>
            </w:tcBorders>
            <w:shd w:val="clear" w:color="000000" w:fill="FFFFFF"/>
            <w:noWrap/>
            <w:vAlign w:val="bottom"/>
            <w:hideMark/>
          </w:tcPr>
          <w:p w14:paraId="0710D468" w14:textId="2921C34E"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35,0 </w:t>
            </w:r>
          </w:p>
        </w:tc>
      </w:tr>
      <w:tr w:rsidR="00984760" w:rsidRPr="00A661AE" w14:paraId="700B5E09" w14:textId="77777777" w:rsidTr="00350125">
        <w:trPr>
          <w:trHeight w:val="288"/>
        </w:trPr>
        <w:tc>
          <w:tcPr>
            <w:tcW w:w="3460" w:type="pct"/>
            <w:tcBorders>
              <w:top w:val="nil"/>
              <w:left w:val="nil"/>
              <w:bottom w:val="nil"/>
              <w:right w:val="nil"/>
            </w:tcBorders>
            <w:shd w:val="clear" w:color="auto" w:fill="auto"/>
            <w:noWrap/>
            <w:vAlign w:val="bottom"/>
            <w:hideMark/>
          </w:tcPr>
          <w:p w14:paraId="49474D2B" w14:textId="4C5D43A1"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Preparaciones para la tos y el resfriado</w:t>
            </w:r>
          </w:p>
        </w:tc>
        <w:tc>
          <w:tcPr>
            <w:tcW w:w="770" w:type="pct"/>
            <w:tcBorders>
              <w:top w:val="nil"/>
              <w:left w:val="nil"/>
              <w:bottom w:val="nil"/>
              <w:right w:val="nil"/>
            </w:tcBorders>
          </w:tcPr>
          <w:p w14:paraId="1845A293" w14:textId="2CBEA852"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R05</w:t>
            </w:r>
          </w:p>
        </w:tc>
        <w:tc>
          <w:tcPr>
            <w:tcW w:w="770" w:type="pct"/>
            <w:tcBorders>
              <w:top w:val="nil"/>
              <w:left w:val="nil"/>
              <w:bottom w:val="nil"/>
              <w:right w:val="nil"/>
            </w:tcBorders>
            <w:shd w:val="clear" w:color="000000" w:fill="FFFFFF"/>
            <w:noWrap/>
            <w:vAlign w:val="bottom"/>
            <w:hideMark/>
          </w:tcPr>
          <w:p w14:paraId="4F68517F" w14:textId="499FF34D"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36,0 </w:t>
            </w:r>
          </w:p>
        </w:tc>
      </w:tr>
      <w:tr w:rsidR="00984760" w:rsidRPr="00A661AE" w14:paraId="4314EF2F" w14:textId="77777777" w:rsidTr="00350125">
        <w:trPr>
          <w:trHeight w:val="288"/>
        </w:trPr>
        <w:tc>
          <w:tcPr>
            <w:tcW w:w="3460" w:type="pct"/>
            <w:tcBorders>
              <w:top w:val="nil"/>
              <w:left w:val="nil"/>
              <w:bottom w:val="nil"/>
              <w:right w:val="nil"/>
            </w:tcBorders>
            <w:shd w:val="clear" w:color="auto" w:fill="auto"/>
            <w:noWrap/>
            <w:vAlign w:val="bottom"/>
            <w:hideMark/>
          </w:tcPr>
          <w:p w14:paraId="7F23647E" w14:textId="4ACC1E01"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Medicamentos para trastornos relacionados con </w:t>
            </w:r>
            <w:r>
              <w:rPr>
                <w:rFonts w:ascii="Times New Roman" w:eastAsia="Times New Roman" w:hAnsi="Times New Roman" w:cs="Times New Roman"/>
                <w:color w:val="000000"/>
                <w:sz w:val="24"/>
                <w:szCs w:val="24"/>
                <w:lang w:eastAsia="es-CR"/>
              </w:rPr>
              <w:t>la acidez</w:t>
            </w:r>
          </w:p>
        </w:tc>
        <w:tc>
          <w:tcPr>
            <w:tcW w:w="770" w:type="pct"/>
            <w:tcBorders>
              <w:top w:val="nil"/>
              <w:left w:val="nil"/>
              <w:bottom w:val="nil"/>
              <w:right w:val="nil"/>
            </w:tcBorders>
          </w:tcPr>
          <w:p w14:paraId="7291BA36" w14:textId="294C29AF"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A02</w:t>
            </w:r>
          </w:p>
        </w:tc>
        <w:tc>
          <w:tcPr>
            <w:tcW w:w="770" w:type="pct"/>
            <w:tcBorders>
              <w:top w:val="nil"/>
              <w:left w:val="nil"/>
              <w:bottom w:val="nil"/>
              <w:right w:val="nil"/>
            </w:tcBorders>
            <w:shd w:val="clear" w:color="000000" w:fill="FFFFFF"/>
            <w:noWrap/>
            <w:vAlign w:val="bottom"/>
            <w:hideMark/>
          </w:tcPr>
          <w:p w14:paraId="0BD34544" w14:textId="427A8D76"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37,5 </w:t>
            </w:r>
          </w:p>
        </w:tc>
      </w:tr>
      <w:tr w:rsidR="00984760" w:rsidRPr="00A661AE" w14:paraId="3A32E547" w14:textId="77777777" w:rsidTr="00350125">
        <w:trPr>
          <w:trHeight w:val="288"/>
        </w:trPr>
        <w:tc>
          <w:tcPr>
            <w:tcW w:w="3460" w:type="pct"/>
            <w:tcBorders>
              <w:top w:val="nil"/>
              <w:left w:val="nil"/>
              <w:bottom w:val="nil"/>
              <w:right w:val="nil"/>
            </w:tcBorders>
            <w:shd w:val="clear" w:color="auto" w:fill="auto"/>
            <w:noWrap/>
            <w:vAlign w:val="bottom"/>
            <w:hideMark/>
          </w:tcPr>
          <w:p w14:paraId="1528C1BB" w14:textId="4C8B1839"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Medicamentos para trastornos funcionales gastrointestinales</w:t>
            </w:r>
          </w:p>
        </w:tc>
        <w:tc>
          <w:tcPr>
            <w:tcW w:w="770" w:type="pct"/>
            <w:tcBorders>
              <w:top w:val="nil"/>
              <w:left w:val="nil"/>
              <w:bottom w:val="nil"/>
              <w:right w:val="nil"/>
            </w:tcBorders>
          </w:tcPr>
          <w:p w14:paraId="61D1E812" w14:textId="69E7D485"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A03</w:t>
            </w:r>
          </w:p>
        </w:tc>
        <w:tc>
          <w:tcPr>
            <w:tcW w:w="770" w:type="pct"/>
            <w:tcBorders>
              <w:top w:val="nil"/>
              <w:left w:val="nil"/>
              <w:bottom w:val="nil"/>
              <w:right w:val="nil"/>
            </w:tcBorders>
            <w:shd w:val="clear" w:color="000000" w:fill="FFFFFF"/>
            <w:noWrap/>
            <w:vAlign w:val="bottom"/>
            <w:hideMark/>
          </w:tcPr>
          <w:p w14:paraId="579CECBD" w14:textId="5BA19B5B"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33,5 </w:t>
            </w:r>
          </w:p>
        </w:tc>
      </w:tr>
      <w:tr w:rsidR="00984760" w:rsidRPr="00A661AE" w14:paraId="527E4D61" w14:textId="77777777" w:rsidTr="00350125">
        <w:trPr>
          <w:trHeight w:val="288"/>
        </w:trPr>
        <w:tc>
          <w:tcPr>
            <w:tcW w:w="3460" w:type="pct"/>
            <w:tcBorders>
              <w:top w:val="nil"/>
              <w:left w:val="nil"/>
              <w:bottom w:val="nil"/>
              <w:right w:val="nil"/>
            </w:tcBorders>
            <w:shd w:val="clear" w:color="auto" w:fill="auto"/>
            <w:noWrap/>
            <w:vAlign w:val="bottom"/>
            <w:hideMark/>
          </w:tcPr>
          <w:p w14:paraId="4D92ADBB" w14:textId="19FAC8A6"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Medicamentos para enfermedades obstructivas de las vías respiratorias</w:t>
            </w:r>
          </w:p>
        </w:tc>
        <w:tc>
          <w:tcPr>
            <w:tcW w:w="770" w:type="pct"/>
            <w:tcBorders>
              <w:top w:val="nil"/>
              <w:left w:val="nil"/>
              <w:bottom w:val="nil"/>
              <w:right w:val="nil"/>
            </w:tcBorders>
          </w:tcPr>
          <w:p w14:paraId="1D1BF95A" w14:textId="7DD0EA20"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R03</w:t>
            </w:r>
          </w:p>
        </w:tc>
        <w:tc>
          <w:tcPr>
            <w:tcW w:w="770" w:type="pct"/>
            <w:tcBorders>
              <w:top w:val="nil"/>
              <w:left w:val="nil"/>
              <w:bottom w:val="nil"/>
              <w:right w:val="nil"/>
            </w:tcBorders>
            <w:shd w:val="clear" w:color="000000" w:fill="FFFFFF"/>
            <w:noWrap/>
            <w:vAlign w:val="bottom"/>
            <w:hideMark/>
          </w:tcPr>
          <w:p w14:paraId="0F1FD014" w14:textId="4CC0D799"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33,0 </w:t>
            </w:r>
          </w:p>
        </w:tc>
      </w:tr>
      <w:tr w:rsidR="00984760" w:rsidRPr="00A661AE" w14:paraId="55B7761A" w14:textId="77777777" w:rsidTr="00350125">
        <w:trPr>
          <w:trHeight w:val="288"/>
        </w:trPr>
        <w:tc>
          <w:tcPr>
            <w:tcW w:w="3460" w:type="pct"/>
            <w:tcBorders>
              <w:top w:val="nil"/>
              <w:left w:val="nil"/>
              <w:bottom w:val="nil"/>
              <w:right w:val="nil"/>
            </w:tcBorders>
            <w:shd w:val="clear" w:color="auto" w:fill="auto"/>
            <w:noWrap/>
            <w:vAlign w:val="bottom"/>
            <w:hideMark/>
          </w:tcPr>
          <w:p w14:paraId="526B7255" w14:textId="2991F33D"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Medicamentos para el tratamiento de enfermedades óseas</w:t>
            </w:r>
          </w:p>
        </w:tc>
        <w:tc>
          <w:tcPr>
            <w:tcW w:w="770" w:type="pct"/>
            <w:tcBorders>
              <w:top w:val="nil"/>
              <w:left w:val="nil"/>
              <w:bottom w:val="nil"/>
              <w:right w:val="nil"/>
            </w:tcBorders>
          </w:tcPr>
          <w:p w14:paraId="21A1A237" w14:textId="52B2B879"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M05</w:t>
            </w:r>
          </w:p>
        </w:tc>
        <w:tc>
          <w:tcPr>
            <w:tcW w:w="770" w:type="pct"/>
            <w:tcBorders>
              <w:top w:val="nil"/>
              <w:left w:val="nil"/>
              <w:bottom w:val="nil"/>
              <w:right w:val="nil"/>
            </w:tcBorders>
            <w:shd w:val="clear" w:color="000000" w:fill="FFFFFF"/>
            <w:noWrap/>
            <w:vAlign w:val="bottom"/>
            <w:hideMark/>
          </w:tcPr>
          <w:p w14:paraId="7F0DF686" w14:textId="5539B355"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26,0 </w:t>
            </w:r>
          </w:p>
        </w:tc>
      </w:tr>
      <w:tr w:rsidR="00984760" w:rsidRPr="00A661AE" w14:paraId="072756AB" w14:textId="77777777" w:rsidTr="00350125">
        <w:trPr>
          <w:trHeight w:val="288"/>
        </w:trPr>
        <w:tc>
          <w:tcPr>
            <w:tcW w:w="3460" w:type="pct"/>
            <w:tcBorders>
              <w:top w:val="nil"/>
              <w:left w:val="nil"/>
              <w:bottom w:val="nil"/>
              <w:right w:val="nil"/>
            </w:tcBorders>
            <w:shd w:val="clear" w:color="auto" w:fill="auto"/>
            <w:noWrap/>
            <w:vAlign w:val="bottom"/>
            <w:hideMark/>
          </w:tcPr>
          <w:p w14:paraId="7A3AB45C" w14:textId="5693A1C4"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Medicamentos </w:t>
            </w:r>
            <w:r>
              <w:rPr>
                <w:rFonts w:ascii="Times New Roman" w:eastAsia="Times New Roman" w:hAnsi="Times New Roman" w:cs="Times New Roman"/>
                <w:color w:val="000000"/>
                <w:sz w:val="24"/>
                <w:szCs w:val="24"/>
                <w:lang w:eastAsia="es-CR"/>
              </w:rPr>
              <w:t>para el tratamiento de la</w:t>
            </w:r>
            <w:r w:rsidRPr="00A661AE">
              <w:rPr>
                <w:rFonts w:ascii="Times New Roman" w:eastAsia="Times New Roman" w:hAnsi="Times New Roman" w:cs="Times New Roman"/>
                <w:color w:val="000000"/>
                <w:sz w:val="24"/>
                <w:szCs w:val="24"/>
                <w:lang w:eastAsia="es-CR"/>
              </w:rPr>
              <w:t xml:space="preserve"> diabetes</w:t>
            </w:r>
          </w:p>
        </w:tc>
        <w:tc>
          <w:tcPr>
            <w:tcW w:w="770" w:type="pct"/>
            <w:tcBorders>
              <w:top w:val="nil"/>
              <w:left w:val="nil"/>
              <w:bottom w:val="nil"/>
              <w:right w:val="nil"/>
            </w:tcBorders>
          </w:tcPr>
          <w:p w14:paraId="2BF30BC9" w14:textId="2D5BD4B2"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A10</w:t>
            </w:r>
          </w:p>
        </w:tc>
        <w:tc>
          <w:tcPr>
            <w:tcW w:w="770" w:type="pct"/>
            <w:tcBorders>
              <w:top w:val="nil"/>
              <w:left w:val="nil"/>
              <w:bottom w:val="nil"/>
              <w:right w:val="nil"/>
            </w:tcBorders>
            <w:shd w:val="clear" w:color="000000" w:fill="FFFFFF"/>
            <w:noWrap/>
            <w:vAlign w:val="bottom"/>
            <w:hideMark/>
          </w:tcPr>
          <w:p w14:paraId="3926235C" w14:textId="50D8E5C1"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29,5 </w:t>
            </w:r>
          </w:p>
        </w:tc>
      </w:tr>
      <w:tr w:rsidR="00984760" w:rsidRPr="00A661AE" w14:paraId="23604D2E" w14:textId="77777777" w:rsidTr="00350125">
        <w:trPr>
          <w:trHeight w:val="288"/>
        </w:trPr>
        <w:tc>
          <w:tcPr>
            <w:tcW w:w="3460" w:type="pct"/>
            <w:tcBorders>
              <w:top w:val="nil"/>
              <w:left w:val="nil"/>
              <w:bottom w:val="nil"/>
              <w:right w:val="nil"/>
            </w:tcBorders>
            <w:shd w:val="clear" w:color="auto" w:fill="auto"/>
            <w:noWrap/>
            <w:vAlign w:val="bottom"/>
            <w:hideMark/>
          </w:tcPr>
          <w:p w14:paraId="0B349439" w14:textId="0C8A0895"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Antiinfecciosos y antisépticos ginecológicos</w:t>
            </w:r>
          </w:p>
        </w:tc>
        <w:tc>
          <w:tcPr>
            <w:tcW w:w="770" w:type="pct"/>
            <w:tcBorders>
              <w:top w:val="nil"/>
              <w:left w:val="nil"/>
              <w:bottom w:val="nil"/>
              <w:right w:val="nil"/>
            </w:tcBorders>
          </w:tcPr>
          <w:p w14:paraId="7C6D940E" w14:textId="36FB893B"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G01</w:t>
            </w:r>
          </w:p>
        </w:tc>
        <w:tc>
          <w:tcPr>
            <w:tcW w:w="770" w:type="pct"/>
            <w:tcBorders>
              <w:top w:val="nil"/>
              <w:left w:val="nil"/>
              <w:bottom w:val="nil"/>
              <w:right w:val="nil"/>
            </w:tcBorders>
            <w:shd w:val="clear" w:color="000000" w:fill="FFFFFF"/>
            <w:noWrap/>
            <w:vAlign w:val="bottom"/>
            <w:hideMark/>
          </w:tcPr>
          <w:p w14:paraId="7B2707B9" w14:textId="2617DC5D"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39,5 </w:t>
            </w:r>
          </w:p>
        </w:tc>
      </w:tr>
      <w:tr w:rsidR="00984760" w:rsidRPr="00A661AE" w14:paraId="0CEC4161" w14:textId="77777777" w:rsidTr="00350125">
        <w:trPr>
          <w:trHeight w:val="288"/>
        </w:trPr>
        <w:tc>
          <w:tcPr>
            <w:tcW w:w="3460" w:type="pct"/>
            <w:tcBorders>
              <w:top w:val="nil"/>
              <w:left w:val="nil"/>
              <w:bottom w:val="nil"/>
              <w:right w:val="nil"/>
            </w:tcBorders>
            <w:shd w:val="clear" w:color="auto" w:fill="auto"/>
            <w:noWrap/>
            <w:vAlign w:val="bottom"/>
            <w:hideMark/>
          </w:tcPr>
          <w:p w14:paraId="407D92AF" w14:textId="740FB566"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Agentes modificadores de lípidos</w:t>
            </w:r>
          </w:p>
        </w:tc>
        <w:tc>
          <w:tcPr>
            <w:tcW w:w="770" w:type="pct"/>
            <w:tcBorders>
              <w:top w:val="nil"/>
              <w:left w:val="nil"/>
              <w:bottom w:val="nil"/>
              <w:right w:val="nil"/>
            </w:tcBorders>
          </w:tcPr>
          <w:p w14:paraId="2E35F8A2" w14:textId="6ACC6ABB"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C10</w:t>
            </w:r>
          </w:p>
        </w:tc>
        <w:tc>
          <w:tcPr>
            <w:tcW w:w="770" w:type="pct"/>
            <w:tcBorders>
              <w:top w:val="nil"/>
              <w:left w:val="nil"/>
              <w:bottom w:val="nil"/>
              <w:right w:val="nil"/>
            </w:tcBorders>
            <w:shd w:val="clear" w:color="000000" w:fill="FFFFFF"/>
            <w:noWrap/>
            <w:vAlign w:val="bottom"/>
            <w:hideMark/>
          </w:tcPr>
          <w:p w14:paraId="2C712D86" w14:textId="12D5C6BD"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37,5 </w:t>
            </w:r>
          </w:p>
        </w:tc>
      </w:tr>
      <w:tr w:rsidR="00984760" w:rsidRPr="00A661AE" w14:paraId="4ED7D892" w14:textId="77777777" w:rsidTr="00350125">
        <w:trPr>
          <w:trHeight w:val="288"/>
        </w:trPr>
        <w:tc>
          <w:tcPr>
            <w:tcW w:w="3460" w:type="pct"/>
            <w:tcBorders>
              <w:top w:val="nil"/>
              <w:left w:val="nil"/>
              <w:bottom w:val="nil"/>
              <w:right w:val="nil"/>
            </w:tcBorders>
            <w:shd w:val="clear" w:color="auto" w:fill="auto"/>
            <w:noWrap/>
            <w:vAlign w:val="bottom"/>
            <w:hideMark/>
          </w:tcPr>
          <w:p w14:paraId="5E94D597" w14:textId="292E6203"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Relajantes musculares</w:t>
            </w:r>
          </w:p>
        </w:tc>
        <w:tc>
          <w:tcPr>
            <w:tcW w:w="770" w:type="pct"/>
            <w:tcBorders>
              <w:top w:val="nil"/>
              <w:left w:val="nil"/>
              <w:bottom w:val="nil"/>
              <w:right w:val="nil"/>
            </w:tcBorders>
          </w:tcPr>
          <w:p w14:paraId="210CE4CC" w14:textId="3F278105"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M03</w:t>
            </w:r>
          </w:p>
        </w:tc>
        <w:tc>
          <w:tcPr>
            <w:tcW w:w="770" w:type="pct"/>
            <w:tcBorders>
              <w:top w:val="nil"/>
              <w:left w:val="nil"/>
              <w:bottom w:val="nil"/>
              <w:right w:val="nil"/>
            </w:tcBorders>
            <w:shd w:val="clear" w:color="000000" w:fill="FFFFFF"/>
            <w:noWrap/>
            <w:vAlign w:val="bottom"/>
            <w:hideMark/>
          </w:tcPr>
          <w:p w14:paraId="0ED2FA45" w14:textId="67902CA0"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33,5 </w:t>
            </w:r>
          </w:p>
        </w:tc>
      </w:tr>
      <w:tr w:rsidR="00984760" w:rsidRPr="00A661AE" w14:paraId="20758792" w14:textId="77777777" w:rsidTr="00350125">
        <w:trPr>
          <w:trHeight w:val="288"/>
        </w:trPr>
        <w:tc>
          <w:tcPr>
            <w:tcW w:w="3460" w:type="pct"/>
            <w:tcBorders>
              <w:top w:val="nil"/>
              <w:left w:val="nil"/>
              <w:bottom w:val="nil"/>
              <w:right w:val="nil"/>
            </w:tcBorders>
            <w:shd w:val="clear" w:color="auto" w:fill="auto"/>
            <w:noWrap/>
            <w:vAlign w:val="bottom"/>
            <w:hideMark/>
          </w:tcPr>
          <w:p w14:paraId="499C3906" w14:textId="59304481"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Preparaciones nasales</w:t>
            </w:r>
          </w:p>
        </w:tc>
        <w:tc>
          <w:tcPr>
            <w:tcW w:w="770" w:type="pct"/>
            <w:tcBorders>
              <w:top w:val="nil"/>
              <w:left w:val="nil"/>
              <w:bottom w:val="nil"/>
              <w:right w:val="nil"/>
            </w:tcBorders>
          </w:tcPr>
          <w:p w14:paraId="7B2D2E69" w14:textId="698D64AC"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R01</w:t>
            </w:r>
          </w:p>
        </w:tc>
        <w:tc>
          <w:tcPr>
            <w:tcW w:w="770" w:type="pct"/>
            <w:tcBorders>
              <w:top w:val="nil"/>
              <w:left w:val="nil"/>
              <w:bottom w:val="nil"/>
              <w:right w:val="nil"/>
            </w:tcBorders>
            <w:shd w:val="clear" w:color="000000" w:fill="FFFFFF"/>
            <w:noWrap/>
            <w:vAlign w:val="bottom"/>
            <w:hideMark/>
          </w:tcPr>
          <w:p w14:paraId="094468CF" w14:textId="06B22474"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39,0 </w:t>
            </w:r>
          </w:p>
        </w:tc>
      </w:tr>
      <w:tr w:rsidR="00984760" w:rsidRPr="00A661AE" w14:paraId="1F03B9A3" w14:textId="77777777" w:rsidTr="00350125">
        <w:trPr>
          <w:trHeight w:val="288"/>
        </w:trPr>
        <w:tc>
          <w:tcPr>
            <w:tcW w:w="3460" w:type="pct"/>
            <w:tcBorders>
              <w:top w:val="nil"/>
              <w:left w:val="nil"/>
              <w:bottom w:val="nil"/>
              <w:right w:val="nil"/>
            </w:tcBorders>
            <w:shd w:val="clear" w:color="auto" w:fill="auto"/>
            <w:noWrap/>
            <w:vAlign w:val="bottom"/>
            <w:hideMark/>
          </w:tcPr>
          <w:p w14:paraId="57DEB29F" w14:textId="0E4ACA4A"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Oftalmológicos</w:t>
            </w:r>
          </w:p>
        </w:tc>
        <w:tc>
          <w:tcPr>
            <w:tcW w:w="770" w:type="pct"/>
            <w:tcBorders>
              <w:top w:val="nil"/>
              <w:left w:val="nil"/>
              <w:bottom w:val="nil"/>
              <w:right w:val="nil"/>
            </w:tcBorders>
          </w:tcPr>
          <w:p w14:paraId="18805915" w14:textId="705BFBBD"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990649">
              <w:rPr>
                <w:rFonts w:ascii="Times New Roman" w:eastAsia="Times New Roman" w:hAnsi="Times New Roman" w:cs="Times New Roman"/>
                <w:color w:val="000000"/>
                <w:sz w:val="24"/>
                <w:szCs w:val="24"/>
                <w:lang w:eastAsia="es-CR"/>
              </w:rPr>
              <w:t>S01</w:t>
            </w:r>
          </w:p>
        </w:tc>
        <w:tc>
          <w:tcPr>
            <w:tcW w:w="770" w:type="pct"/>
            <w:tcBorders>
              <w:top w:val="nil"/>
              <w:left w:val="nil"/>
              <w:bottom w:val="nil"/>
              <w:right w:val="nil"/>
            </w:tcBorders>
            <w:shd w:val="clear" w:color="000000" w:fill="FFFFFF"/>
            <w:noWrap/>
            <w:vAlign w:val="bottom"/>
            <w:hideMark/>
          </w:tcPr>
          <w:p w14:paraId="15775BA6" w14:textId="0F5A5BCC"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33,5 </w:t>
            </w:r>
          </w:p>
        </w:tc>
      </w:tr>
      <w:tr w:rsidR="00984760" w:rsidRPr="00A661AE" w14:paraId="412F3780" w14:textId="77777777" w:rsidTr="00350125">
        <w:trPr>
          <w:trHeight w:val="288"/>
        </w:trPr>
        <w:tc>
          <w:tcPr>
            <w:tcW w:w="3460" w:type="pct"/>
            <w:tcBorders>
              <w:top w:val="nil"/>
              <w:left w:val="nil"/>
              <w:bottom w:val="nil"/>
              <w:right w:val="nil"/>
            </w:tcBorders>
            <w:shd w:val="clear" w:color="auto" w:fill="auto"/>
            <w:noWrap/>
            <w:vAlign w:val="bottom"/>
            <w:hideMark/>
          </w:tcPr>
          <w:p w14:paraId="6CF55CE2" w14:textId="4841D68B"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Otros productos para el tracto alimentario y el metabolismo</w:t>
            </w:r>
          </w:p>
        </w:tc>
        <w:tc>
          <w:tcPr>
            <w:tcW w:w="770" w:type="pct"/>
            <w:tcBorders>
              <w:top w:val="nil"/>
              <w:left w:val="nil"/>
              <w:bottom w:val="nil"/>
              <w:right w:val="nil"/>
            </w:tcBorders>
          </w:tcPr>
          <w:p w14:paraId="33748617" w14:textId="13D57906"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A16</w:t>
            </w:r>
          </w:p>
        </w:tc>
        <w:tc>
          <w:tcPr>
            <w:tcW w:w="770" w:type="pct"/>
            <w:tcBorders>
              <w:top w:val="nil"/>
              <w:left w:val="nil"/>
              <w:bottom w:val="nil"/>
              <w:right w:val="nil"/>
            </w:tcBorders>
            <w:shd w:val="clear" w:color="000000" w:fill="FFFFFF"/>
            <w:noWrap/>
            <w:vAlign w:val="bottom"/>
            <w:hideMark/>
          </w:tcPr>
          <w:p w14:paraId="1BF92C8F" w14:textId="0EE64868"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33,5 </w:t>
            </w:r>
          </w:p>
        </w:tc>
      </w:tr>
      <w:tr w:rsidR="00984760" w:rsidRPr="00A661AE" w14:paraId="43A9FD4B" w14:textId="77777777" w:rsidTr="00350125">
        <w:trPr>
          <w:trHeight w:val="288"/>
        </w:trPr>
        <w:tc>
          <w:tcPr>
            <w:tcW w:w="3460" w:type="pct"/>
            <w:tcBorders>
              <w:top w:val="nil"/>
              <w:left w:val="nil"/>
              <w:bottom w:val="nil"/>
              <w:right w:val="nil"/>
            </w:tcBorders>
            <w:shd w:val="clear" w:color="auto" w:fill="auto"/>
            <w:noWrap/>
            <w:vAlign w:val="bottom"/>
            <w:hideMark/>
          </w:tcPr>
          <w:p w14:paraId="4B710344" w14:textId="49C36DC0"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Otros medicamentos para trastornos del sistema músculo-esquelético</w:t>
            </w:r>
          </w:p>
        </w:tc>
        <w:tc>
          <w:tcPr>
            <w:tcW w:w="770" w:type="pct"/>
            <w:tcBorders>
              <w:top w:val="nil"/>
              <w:left w:val="nil"/>
              <w:bottom w:val="nil"/>
              <w:right w:val="nil"/>
            </w:tcBorders>
          </w:tcPr>
          <w:p w14:paraId="3E94314D" w14:textId="7F909C4A"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M09</w:t>
            </w:r>
          </w:p>
        </w:tc>
        <w:tc>
          <w:tcPr>
            <w:tcW w:w="770" w:type="pct"/>
            <w:tcBorders>
              <w:top w:val="nil"/>
              <w:left w:val="nil"/>
              <w:bottom w:val="nil"/>
              <w:right w:val="nil"/>
            </w:tcBorders>
            <w:shd w:val="clear" w:color="000000" w:fill="FFFFFF"/>
            <w:noWrap/>
            <w:vAlign w:val="bottom"/>
            <w:hideMark/>
          </w:tcPr>
          <w:p w14:paraId="49971268" w14:textId="1848DEB3"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33,5 </w:t>
            </w:r>
          </w:p>
        </w:tc>
      </w:tr>
      <w:tr w:rsidR="00984760" w:rsidRPr="00A661AE" w14:paraId="472BADCA" w14:textId="77777777" w:rsidTr="00350125">
        <w:trPr>
          <w:trHeight w:val="288"/>
        </w:trPr>
        <w:tc>
          <w:tcPr>
            <w:tcW w:w="3460" w:type="pct"/>
            <w:tcBorders>
              <w:top w:val="nil"/>
              <w:left w:val="nil"/>
              <w:bottom w:val="nil"/>
              <w:right w:val="nil"/>
            </w:tcBorders>
            <w:shd w:val="clear" w:color="auto" w:fill="auto"/>
            <w:noWrap/>
            <w:vAlign w:val="bottom"/>
            <w:hideMark/>
          </w:tcPr>
          <w:p w14:paraId="6B66F418" w14:textId="2FD805E9"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Otros productos ginecológicos</w:t>
            </w:r>
          </w:p>
        </w:tc>
        <w:tc>
          <w:tcPr>
            <w:tcW w:w="770" w:type="pct"/>
            <w:tcBorders>
              <w:top w:val="nil"/>
              <w:left w:val="nil"/>
              <w:bottom w:val="nil"/>
              <w:right w:val="nil"/>
            </w:tcBorders>
          </w:tcPr>
          <w:p w14:paraId="27E0342A" w14:textId="69C8BD2A"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G02</w:t>
            </w:r>
          </w:p>
        </w:tc>
        <w:tc>
          <w:tcPr>
            <w:tcW w:w="770" w:type="pct"/>
            <w:tcBorders>
              <w:top w:val="nil"/>
              <w:left w:val="nil"/>
              <w:bottom w:val="nil"/>
              <w:right w:val="nil"/>
            </w:tcBorders>
            <w:shd w:val="clear" w:color="000000" w:fill="FFFFFF"/>
            <w:noWrap/>
            <w:vAlign w:val="bottom"/>
            <w:hideMark/>
          </w:tcPr>
          <w:p w14:paraId="67AF325B" w14:textId="56341A42"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32,5 </w:t>
            </w:r>
          </w:p>
        </w:tc>
      </w:tr>
      <w:tr w:rsidR="00984760" w:rsidRPr="00A661AE" w14:paraId="5B6A00D2" w14:textId="77777777" w:rsidTr="00350125">
        <w:trPr>
          <w:trHeight w:val="288"/>
        </w:trPr>
        <w:tc>
          <w:tcPr>
            <w:tcW w:w="3460" w:type="pct"/>
            <w:tcBorders>
              <w:top w:val="nil"/>
              <w:left w:val="nil"/>
              <w:bottom w:val="nil"/>
              <w:right w:val="nil"/>
            </w:tcBorders>
            <w:shd w:val="clear" w:color="auto" w:fill="auto"/>
            <w:noWrap/>
            <w:vAlign w:val="bottom"/>
            <w:hideMark/>
          </w:tcPr>
          <w:p w14:paraId="71B70B53" w14:textId="320B4E4A"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Otros medicamentos para el sistema nervioso</w:t>
            </w:r>
          </w:p>
        </w:tc>
        <w:tc>
          <w:tcPr>
            <w:tcW w:w="770" w:type="pct"/>
            <w:tcBorders>
              <w:top w:val="nil"/>
              <w:left w:val="nil"/>
              <w:bottom w:val="nil"/>
              <w:right w:val="nil"/>
            </w:tcBorders>
          </w:tcPr>
          <w:p w14:paraId="660A62A1" w14:textId="550DDEE1"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N07</w:t>
            </w:r>
          </w:p>
        </w:tc>
        <w:tc>
          <w:tcPr>
            <w:tcW w:w="770" w:type="pct"/>
            <w:tcBorders>
              <w:top w:val="nil"/>
              <w:left w:val="nil"/>
              <w:bottom w:val="nil"/>
              <w:right w:val="nil"/>
            </w:tcBorders>
            <w:shd w:val="clear" w:color="000000" w:fill="FFFFFF"/>
            <w:noWrap/>
            <w:vAlign w:val="bottom"/>
            <w:hideMark/>
          </w:tcPr>
          <w:p w14:paraId="163A7367" w14:textId="5F3DEF18"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36,5 </w:t>
            </w:r>
          </w:p>
        </w:tc>
      </w:tr>
      <w:tr w:rsidR="00984760" w:rsidRPr="00A661AE" w14:paraId="52F0931E" w14:textId="77777777" w:rsidTr="00350125">
        <w:trPr>
          <w:trHeight w:val="288"/>
        </w:trPr>
        <w:tc>
          <w:tcPr>
            <w:tcW w:w="3460" w:type="pct"/>
            <w:tcBorders>
              <w:top w:val="nil"/>
              <w:left w:val="nil"/>
              <w:bottom w:val="nil"/>
              <w:right w:val="nil"/>
            </w:tcBorders>
            <w:shd w:val="clear" w:color="auto" w:fill="auto"/>
            <w:noWrap/>
            <w:vAlign w:val="bottom"/>
            <w:hideMark/>
          </w:tcPr>
          <w:p w14:paraId="0CAE604B" w14:textId="4C62A682"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proofErr w:type="spellStart"/>
            <w:r w:rsidRPr="00A661AE">
              <w:rPr>
                <w:rFonts w:ascii="Times New Roman" w:eastAsia="Times New Roman" w:hAnsi="Times New Roman" w:cs="Times New Roman"/>
                <w:color w:val="000000"/>
                <w:sz w:val="24"/>
                <w:szCs w:val="24"/>
                <w:lang w:eastAsia="es-CR"/>
              </w:rPr>
              <w:t>Psicoanalépticos</w:t>
            </w:r>
            <w:proofErr w:type="spellEnd"/>
          </w:p>
        </w:tc>
        <w:tc>
          <w:tcPr>
            <w:tcW w:w="770" w:type="pct"/>
            <w:tcBorders>
              <w:top w:val="nil"/>
              <w:left w:val="nil"/>
              <w:bottom w:val="nil"/>
              <w:right w:val="nil"/>
            </w:tcBorders>
          </w:tcPr>
          <w:p w14:paraId="5CA93ABA" w14:textId="102C49CA"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N06</w:t>
            </w:r>
          </w:p>
        </w:tc>
        <w:tc>
          <w:tcPr>
            <w:tcW w:w="770" w:type="pct"/>
            <w:tcBorders>
              <w:top w:val="nil"/>
              <w:left w:val="nil"/>
              <w:bottom w:val="nil"/>
              <w:right w:val="nil"/>
            </w:tcBorders>
            <w:shd w:val="clear" w:color="000000" w:fill="FFFFFF"/>
            <w:noWrap/>
            <w:vAlign w:val="bottom"/>
            <w:hideMark/>
          </w:tcPr>
          <w:p w14:paraId="18B0D538" w14:textId="37769E72"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34,5 </w:t>
            </w:r>
          </w:p>
        </w:tc>
      </w:tr>
      <w:tr w:rsidR="00984760" w:rsidRPr="00A661AE" w14:paraId="45FB9EDF" w14:textId="77777777" w:rsidTr="00350125">
        <w:trPr>
          <w:trHeight w:val="288"/>
        </w:trPr>
        <w:tc>
          <w:tcPr>
            <w:tcW w:w="3460" w:type="pct"/>
            <w:tcBorders>
              <w:top w:val="nil"/>
              <w:left w:val="nil"/>
              <w:bottom w:val="nil"/>
              <w:right w:val="nil"/>
            </w:tcBorders>
            <w:shd w:val="clear" w:color="auto" w:fill="auto"/>
            <w:noWrap/>
            <w:vAlign w:val="bottom"/>
            <w:hideMark/>
          </w:tcPr>
          <w:p w14:paraId="7248D491" w14:textId="44F56678"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proofErr w:type="spellStart"/>
            <w:r w:rsidRPr="00A661AE">
              <w:rPr>
                <w:rFonts w:ascii="Times New Roman" w:eastAsia="Times New Roman" w:hAnsi="Times New Roman" w:cs="Times New Roman"/>
                <w:color w:val="000000"/>
                <w:sz w:val="24"/>
                <w:szCs w:val="24"/>
                <w:lang w:eastAsia="es-CR"/>
              </w:rPr>
              <w:t>Psicolepticos</w:t>
            </w:r>
            <w:proofErr w:type="spellEnd"/>
          </w:p>
        </w:tc>
        <w:tc>
          <w:tcPr>
            <w:tcW w:w="770" w:type="pct"/>
            <w:tcBorders>
              <w:top w:val="nil"/>
              <w:left w:val="nil"/>
              <w:bottom w:val="nil"/>
              <w:right w:val="nil"/>
            </w:tcBorders>
          </w:tcPr>
          <w:p w14:paraId="7DDA0C9C" w14:textId="0E177B04"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N05</w:t>
            </w:r>
          </w:p>
        </w:tc>
        <w:tc>
          <w:tcPr>
            <w:tcW w:w="770" w:type="pct"/>
            <w:tcBorders>
              <w:top w:val="nil"/>
              <w:left w:val="nil"/>
              <w:bottom w:val="nil"/>
              <w:right w:val="nil"/>
            </w:tcBorders>
            <w:shd w:val="clear" w:color="000000" w:fill="FFFFFF"/>
            <w:noWrap/>
            <w:vAlign w:val="bottom"/>
            <w:hideMark/>
          </w:tcPr>
          <w:p w14:paraId="6F0FA360" w14:textId="633EDE11"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42,0 </w:t>
            </w:r>
          </w:p>
        </w:tc>
      </w:tr>
      <w:tr w:rsidR="00984760" w:rsidRPr="00A661AE" w14:paraId="744D54DB" w14:textId="77777777" w:rsidTr="00350125">
        <w:trPr>
          <w:trHeight w:val="288"/>
        </w:trPr>
        <w:tc>
          <w:tcPr>
            <w:tcW w:w="3460" w:type="pct"/>
            <w:tcBorders>
              <w:top w:val="nil"/>
              <w:left w:val="nil"/>
              <w:bottom w:val="nil"/>
              <w:right w:val="nil"/>
            </w:tcBorders>
            <w:shd w:val="clear" w:color="auto" w:fill="auto"/>
            <w:noWrap/>
            <w:vAlign w:val="bottom"/>
            <w:hideMark/>
          </w:tcPr>
          <w:p w14:paraId="610ABABC" w14:textId="28381FEE"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Hormonas sexuales y moduladores del sistema genital</w:t>
            </w:r>
          </w:p>
        </w:tc>
        <w:tc>
          <w:tcPr>
            <w:tcW w:w="770" w:type="pct"/>
            <w:tcBorders>
              <w:top w:val="nil"/>
              <w:left w:val="nil"/>
              <w:bottom w:val="nil"/>
              <w:right w:val="nil"/>
            </w:tcBorders>
          </w:tcPr>
          <w:p w14:paraId="1E163F4B" w14:textId="35D6F782"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G03</w:t>
            </w:r>
          </w:p>
        </w:tc>
        <w:tc>
          <w:tcPr>
            <w:tcW w:w="770" w:type="pct"/>
            <w:tcBorders>
              <w:top w:val="nil"/>
              <w:left w:val="nil"/>
              <w:bottom w:val="nil"/>
              <w:right w:val="nil"/>
            </w:tcBorders>
            <w:shd w:val="clear" w:color="000000" w:fill="FFFFFF"/>
            <w:noWrap/>
            <w:vAlign w:val="bottom"/>
            <w:hideMark/>
          </w:tcPr>
          <w:p w14:paraId="73AAA372" w14:textId="3122C617"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34,5 </w:t>
            </w:r>
          </w:p>
        </w:tc>
      </w:tr>
      <w:tr w:rsidR="00984760" w:rsidRPr="00A661AE" w14:paraId="66D8EAC0" w14:textId="77777777" w:rsidTr="00350125">
        <w:trPr>
          <w:trHeight w:val="288"/>
        </w:trPr>
        <w:tc>
          <w:tcPr>
            <w:tcW w:w="3460" w:type="pct"/>
            <w:tcBorders>
              <w:top w:val="nil"/>
              <w:left w:val="nil"/>
              <w:bottom w:val="nil"/>
              <w:right w:val="nil"/>
            </w:tcBorders>
            <w:shd w:val="clear" w:color="auto" w:fill="auto"/>
            <w:noWrap/>
            <w:vAlign w:val="bottom"/>
            <w:hideMark/>
          </w:tcPr>
          <w:p w14:paraId="55BD4CEB" w14:textId="2AC660FC"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Terapia tiroidea</w:t>
            </w:r>
          </w:p>
        </w:tc>
        <w:tc>
          <w:tcPr>
            <w:tcW w:w="770" w:type="pct"/>
            <w:tcBorders>
              <w:top w:val="nil"/>
              <w:left w:val="nil"/>
              <w:bottom w:val="nil"/>
              <w:right w:val="nil"/>
            </w:tcBorders>
          </w:tcPr>
          <w:p w14:paraId="0E4148B3" w14:textId="12E212C4"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H03</w:t>
            </w:r>
          </w:p>
        </w:tc>
        <w:tc>
          <w:tcPr>
            <w:tcW w:w="770" w:type="pct"/>
            <w:tcBorders>
              <w:top w:val="nil"/>
              <w:left w:val="nil"/>
              <w:bottom w:val="nil"/>
              <w:right w:val="nil"/>
            </w:tcBorders>
            <w:shd w:val="clear" w:color="000000" w:fill="FFFFFF"/>
            <w:noWrap/>
            <w:vAlign w:val="bottom"/>
            <w:hideMark/>
          </w:tcPr>
          <w:p w14:paraId="5A3CBAD9" w14:textId="5686D90A"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33,5 </w:t>
            </w:r>
          </w:p>
        </w:tc>
      </w:tr>
      <w:tr w:rsidR="00984760" w:rsidRPr="00A661AE" w14:paraId="3DA78EF1" w14:textId="77777777" w:rsidTr="00350125">
        <w:trPr>
          <w:trHeight w:val="288"/>
        </w:trPr>
        <w:tc>
          <w:tcPr>
            <w:tcW w:w="3460" w:type="pct"/>
            <w:tcBorders>
              <w:top w:val="nil"/>
              <w:left w:val="nil"/>
              <w:bottom w:val="nil"/>
              <w:right w:val="nil"/>
            </w:tcBorders>
            <w:shd w:val="clear" w:color="auto" w:fill="auto"/>
            <w:noWrap/>
            <w:vAlign w:val="bottom"/>
            <w:hideMark/>
          </w:tcPr>
          <w:p w14:paraId="2AB2B260" w14:textId="575F5C23"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Urológicos</w:t>
            </w:r>
          </w:p>
        </w:tc>
        <w:tc>
          <w:tcPr>
            <w:tcW w:w="770" w:type="pct"/>
            <w:tcBorders>
              <w:top w:val="nil"/>
              <w:left w:val="nil"/>
              <w:bottom w:val="nil"/>
              <w:right w:val="nil"/>
            </w:tcBorders>
          </w:tcPr>
          <w:p w14:paraId="73DD249B" w14:textId="05F6A932"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G04</w:t>
            </w:r>
          </w:p>
        </w:tc>
        <w:tc>
          <w:tcPr>
            <w:tcW w:w="770" w:type="pct"/>
            <w:tcBorders>
              <w:top w:val="nil"/>
              <w:left w:val="nil"/>
              <w:bottom w:val="nil"/>
              <w:right w:val="nil"/>
            </w:tcBorders>
            <w:shd w:val="clear" w:color="000000" w:fill="FFFFFF"/>
            <w:noWrap/>
            <w:vAlign w:val="bottom"/>
            <w:hideMark/>
          </w:tcPr>
          <w:p w14:paraId="2471D28F" w14:textId="798EBC5D"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34,5 </w:t>
            </w:r>
          </w:p>
        </w:tc>
      </w:tr>
      <w:tr w:rsidR="00984760" w:rsidRPr="00A661AE" w14:paraId="1882FCD8" w14:textId="77777777" w:rsidTr="00350125">
        <w:trPr>
          <w:trHeight w:val="288"/>
        </w:trPr>
        <w:tc>
          <w:tcPr>
            <w:tcW w:w="3460" w:type="pct"/>
            <w:tcBorders>
              <w:top w:val="nil"/>
              <w:left w:val="nil"/>
              <w:bottom w:val="nil"/>
              <w:right w:val="nil"/>
            </w:tcBorders>
            <w:shd w:val="clear" w:color="auto" w:fill="auto"/>
            <w:noWrap/>
            <w:vAlign w:val="bottom"/>
            <w:hideMark/>
          </w:tcPr>
          <w:p w14:paraId="602388F8" w14:textId="2A5E1AC5"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Vacunas</w:t>
            </w:r>
          </w:p>
        </w:tc>
        <w:tc>
          <w:tcPr>
            <w:tcW w:w="770" w:type="pct"/>
            <w:tcBorders>
              <w:top w:val="nil"/>
              <w:left w:val="nil"/>
              <w:bottom w:val="nil"/>
              <w:right w:val="nil"/>
            </w:tcBorders>
          </w:tcPr>
          <w:p w14:paraId="70C74193" w14:textId="62C59B49"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J07</w:t>
            </w:r>
          </w:p>
        </w:tc>
        <w:tc>
          <w:tcPr>
            <w:tcW w:w="770" w:type="pct"/>
            <w:tcBorders>
              <w:top w:val="nil"/>
              <w:left w:val="nil"/>
              <w:bottom w:val="nil"/>
              <w:right w:val="nil"/>
            </w:tcBorders>
            <w:shd w:val="clear" w:color="000000" w:fill="FFFFFF"/>
            <w:noWrap/>
            <w:vAlign w:val="bottom"/>
            <w:hideMark/>
          </w:tcPr>
          <w:p w14:paraId="4E4A6EA1" w14:textId="05D25303"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30,5 </w:t>
            </w:r>
          </w:p>
        </w:tc>
      </w:tr>
      <w:tr w:rsidR="00984760" w:rsidRPr="00A661AE" w14:paraId="4881DF1A" w14:textId="77777777" w:rsidTr="00350125">
        <w:trPr>
          <w:trHeight w:val="288"/>
        </w:trPr>
        <w:tc>
          <w:tcPr>
            <w:tcW w:w="3460" w:type="pct"/>
            <w:tcBorders>
              <w:top w:val="nil"/>
              <w:left w:val="nil"/>
              <w:bottom w:val="single" w:sz="4" w:space="0" w:color="auto"/>
              <w:right w:val="nil"/>
            </w:tcBorders>
            <w:shd w:val="clear" w:color="auto" w:fill="auto"/>
            <w:noWrap/>
            <w:vAlign w:val="bottom"/>
            <w:hideMark/>
          </w:tcPr>
          <w:p w14:paraId="742AA296" w14:textId="2B864F06" w:rsidR="00984760" w:rsidRPr="00A661AE" w:rsidRDefault="00984760" w:rsidP="00984760">
            <w:pPr>
              <w:spacing w:after="0" w:line="240" w:lineRule="auto"/>
              <w:rPr>
                <w:rFonts w:ascii="Times New Roman" w:eastAsia="Times New Roman" w:hAnsi="Times New Roman" w:cs="Times New Roman"/>
                <w:color w:val="000000"/>
                <w:sz w:val="24"/>
                <w:szCs w:val="24"/>
                <w:lang w:eastAsia="es-CR"/>
              </w:rPr>
            </w:pPr>
            <w:proofErr w:type="spellStart"/>
            <w:r w:rsidRPr="00A661AE">
              <w:rPr>
                <w:rFonts w:ascii="Times New Roman" w:eastAsia="Times New Roman" w:hAnsi="Times New Roman" w:cs="Times New Roman"/>
                <w:color w:val="000000"/>
                <w:sz w:val="24"/>
                <w:szCs w:val="24"/>
                <w:lang w:eastAsia="es-CR"/>
              </w:rPr>
              <w:t>Vasoprotectores</w:t>
            </w:r>
            <w:proofErr w:type="spellEnd"/>
          </w:p>
        </w:tc>
        <w:tc>
          <w:tcPr>
            <w:tcW w:w="770" w:type="pct"/>
            <w:tcBorders>
              <w:top w:val="nil"/>
              <w:left w:val="nil"/>
              <w:bottom w:val="single" w:sz="4" w:space="0" w:color="auto"/>
              <w:right w:val="nil"/>
            </w:tcBorders>
          </w:tcPr>
          <w:p w14:paraId="4EC1525D" w14:textId="51E31B3B"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7C1D06">
              <w:rPr>
                <w:rFonts w:ascii="Times New Roman" w:eastAsia="Times New Roman" w:hAnsi="Times New Roman" w:cs="Times New Roman"/>
                <w:color w:val="000000"/>
                <w:sz w:val="24"/>
                <w:szCs w:val="24"/>
                <w:lang w:eastAsia="es-CR"/>
              </w:rPr>
              <w:t>C05</w:t>
            </w:r>
          </w:p>
        </w:tc>
        <w:tc>
          <w:tcPr>
            <w:tcW w:w="770" w:type="pct"/>
            <w:tcBorders>
              <w:top w:val="nil"/>
              <w:left w:val="nil"/>
              <w:bottom w:val="single" w:sz="4" w:space="0" w:color="auto"/>
              <w:right w:val="nil"/>
            </w:tcBorders>
            <w:shd w:val="clear" w:color="000000" w:fill="FFFFFF"/>
            <w:noWrap/>
            <w:vAlign w:val="bottom"/>
            <w:hideMark/>
          </w:tcPr>
          <w:p w14:paraId="22AC5692" w14:textId="272B9A0B" w:rsidR="00984760" w:rsidRPr="00A661AE" w:rsidRDefault="00984760" w:rsidP="00984760">
            <w:pPr>
              <w:spacing w:after="0" w:line="240" w:lineRule="auto"/>
              <w:jc w:val="center"/>
              <w:rPr>
                <w:rFonts w:ascii="Times New Roman" w:eastAsia="Times New Roman" w:hAnsi="Times New Roman" w:cs="Times New Roman"/>
                <w:color w:val="000000"/>
                <w:sz w:val="24"/>
                <w:szCs w:val="24"/>
                <w:lang w:eastAsia="es-CR"/>
              </w:rPr>
            </w:pPr>
            <w:r w:rsidRPr="00A661AE">
              <w:rPr>
                <w:rFonts w:ascii="Times New Roman" w:eastAsia="Times New Roman" w:hAnsi="Times New Roman" w:cs="Times New Roman"/>
                <w:color w:val="000000"/>
                <w:sz w:val="24"/>
                <w:szCs w:val="24"/>
                <w:lang w:eastAsia="es-CR"/>
              </w:rPr>
              <w:t xml:space="preserve">37,0 </w:t>
            </w:r>
          </w:p>
        </w:tc>
      </w:tr>
    </w:tbl>
    <w:p w14:paraId="6BCE5A7F" w14:textId="77777777" w:rsidR="00A04915" w:rsidRDefault="00A04915" w:rsidP="002518E4">
      <w:pPr>
        <w:spacing w:after="0" w:line="240" w:lineRule="auto"/>
        <w:jc w:val="both"/>
        <w:rPr>
          <w:rFonts w:ascii="Times New Roman" w:hAnsi="Times New Roman" w:cs="Times New Roman"/>
          <w:b/>
          <w:bCs/>
          <w:sz w:val="24"/>
          <w:szCs w:val="24"/>
        </w:rPr>
      </w:pPr>
    </w:p>
    <w:p w14:paraId="3EEAC2DC" w14:textId="33BAAE29" w:rsidR="00B87AD6" w:rsidRPr="00A661AE" w:rsidRDefault="00F13F5C" w:rsidP="002518E4">
      <w:pPr>
        <w:spacing w:after="0" w:line="240" w:lineRule="auto"/>
        <w:jc w:val="both"/>
        <w:rPr>
          <w:rFonts w:ascii="Times New Roman" w:hAnsi="Times New Roman" w:cs="Times New Roman"/>
          <w:sz w:val="24"/>
          <w:szCs w:val="24"/>
        </w:rPr>
      </w:pPr>
      <w:r w:rsidRPr="00350125">
        <w:rPr>
          <w:rFonts w:ascii="Times New Roman" w:hAnsi="Times New Roman" w:cs="Times New Roman"/>
          <w:sz w:val="24"/>
          <w:szCs w:val="24"/>
        </w:rPr>
        <w:t xml:space="preserve">Los principios activos o DCI que conforman cada uno de los grupos terapéuticos indicados se encuentran </w:t>
      </w:r>
      <w:r w:rsidRPr="00F13F5C">
        <w:rPr>
          <w:rFonts w:ascii="Times New Roman" w:hAnsi="Times New Roman" w:cs="Times New Roman"/>
          <w:sz w:val="24"/>
          <w:szCs w:val="24"/>
        </w:rPr>
        <w:t>en: ATC (</w:t>
      </w:r>
      <w:proofErr w:type="spellStart"/>
      <w:r w:rsidRPr="00F13F5C">
        <w:rPr>
          <w:rFonts w:ascii="Times New Roman" w:hAnsi="Times New Roman" w:cs="Times New Roman"/>
          <w:sz w:val="24"/>
          <w:szCs w:val="24"/>
        </w:rPr>
        <w:t>Anatomical</w:t>
      </w:r>
      <w:proofErr w:type="spellEnd"/>
      <w:r w:rsidRPr="00F13F5C">
        <w:rPr>
          <w:rFonts w:ascii="Times New Roman" w:hAnsi="Times New Roman" w:cs="Times New Roman"/>
          <w:sz w:val="24"/>
          <w:szCs w:val="24"/>
        </w:rPr>
        <w:t xml:space="preserve"> </w:t>
      </w:r>
      <w:proofErr w:type="spellStart"/>
      <w:r w:rsidRPr="00F13F5C">
        <w:rPr>
          <w:rFonts w:ascii="Times New Roman" w:hAnsi="Times New Roman" w:cs="Times New Roman"/>
          <w:sz w:val="24"/>
          <w:szCs w:val="24"/>
        </w:rPr>
        <w:t>Therapeutic</w:t>
      </w:r>
      <w:proofErr w:type="spellEnd"/>
      <w:r w:rsidRPr="00F13F5C">
        <w:rPr>
          <w:rFonts w:ascii="Times New Roman" w:hAnsi="Times New Roman" w:cs="Times New Roman"/>
          <w:sz w:val="24"/>
          <w:szCs w:val="24"/>
        </w:rPr>
        <w:t xml:space="preserve"> Chemical) https://atcddd.fhi.no/atc_ddd_index/ </w:t>
      </w:r>
    </w:p>
    <w:p w14:paraId="18DA8FED" w14:textId="77777777" w:rsidR="00E0759C" w:rsidRDefault="00E0759C" w:rsidP="002518E4">
      <w:pPr>
        <w:spacing w:after="0" w:line="240" w:lineRule="auto"/>
        <w:jc w:val="both"/>
        <w:rPr>
          <w:rFonts w:ascii="Times New Roman" w:hAnsi="Times New Roman" w:cs="Times New Roman"/>
          <w:b/>
          <w:bCs/>
          <w:sz w:val="24"/>
          <w:szCs w:val="24"/>
        </w:rPr>
      </w:pPr>
    </w:p>
    <w:p w14:paraId="6DFF264A" w14:textId="709ED83D" w:rsidR="009736CD" w:rsidRPr="00A661AE" w:rsidRDefault="009736CD" w:rsidP="002518E4">
      <w:pPr>
        <w:spacing w:after="0" w:line="240" w:lineRule="auto"/>
        <w:jc w:val="both"/>
        <w:rPr>
          <w:rFonts w:ascii="Times New Roman" w:hAnsi="Times New Roman" w:cs="Times New Roman"/>
          <w:sz w:val="24"/>
          <w:szCs w:val="24"/>
        </w:rPr>
      </w:pPr>
      <w:r w:rsidRPr="00A661AE">
        <w:rPr>
          <w:rFonts w:ascii="Times New Roman" w:hAnsi="Times New Roman" w:cs="Times New Roman"/>
          <w:b/>
          <w:bCs/>
          <w:sz w:val="24"/>
          <w:szCs w:val="24"/>
        </w:rPr>
        <w:t>Artículo 2°.-</w:t>
      </w:r>
      <w:r w:rsidRPr="00A661AE">
        <w:rPr>
          <w:rFonts w:ascii="Times New Roman" w:hAnsi="Times New Roman" w:cs="Times New Roman"/>
          <w:sz w:val="24"/>
          <w:szCs w:val="24"/>
        </w:rPr>
        <w:t xml:space="preserve"> El cálculo del margen de comercialización bruto </w:t>
      </w:r>
      <w:r w:rsidR="00556104" w:rsidRPr="00A661AE">
        <w:rPr>
          <w:rFonts w:ascii="Times New Roman" w:hAnsi="Times New Roman" w:cs="Times New Roman"/>
          <w:sz w:val="24"/>
          <w:szCs w:val="24"/>
        </w:rPr>
        <w:t xml:space="preserve">deberá </w:t>
      </w:r>
      <w:r w:rsidRPr="00A661AE">
        <w:rPr>
          <w:rFonts w:ascii="Times New Roman" w:hAnsi="Times New Roman" w:cs="Times New Roman"/>
          <w:sz w:val="24"/>
          <w:szCs w:val="24"/>
        </w:rPr>
        <w:t>realizar</w:t>
      </w:r>
      <w:r w:rsidR="00556104" w:rsidRPr="00A661AE">
        <w:rPr>
          <w:rFonts w:ascii="Times New Roman" w:hAnsi="Times New Roman" w:cs="Times New Roman"/>
          <w:sz w:val="24"/>
          <w:szCs w:val="24"/>
        </w:rPr>
        <w:t>se</w:t>
      </w:r>
      <w:r w:rsidRPr="00A661AE">
        <w:rPr>
          <w:rFonts w:ascii="Times New Roman" w:hAnsi="Times New Roman" w:cs="Times New Roman"/>
          <w:sz w:val="24"/>
          <w:szCs w:val="24"/>
        </w:rPr>
        <w:t xml:space="preserve"> de acuerdo con la siguiente fórmula:</w:t>
      </w:r>
    </w:p>
    <w:p w14:paraId="42A38F02" w14:textId="0E5A81BF" w:rsidR="009736CD" w:rsidRPr="00A661AE" w:rsidRDefault="009736CD" w:rsidP="002518E4">
      <w:pPr>
        <w:spacing w:after="0" w:line="240" w:lineRule="auto"/>
        <w:jc w:val="center"/>
        <w:textAlignment w:val="center"/>
        <w:rPr>
          <w:rFonts w:ascii="Times New Roman" w:eastAsia="Times New Roman" w:hAnsi="Times New Roman" w:cs="Times New Roman"/>
          <w:i/>
          <w:iCs/>
          <w:sz w:val="24"/>
          <w:szCs w:val="24"/>
          <w:u w:val="single"/>
          <w:lang w:eastAsia="es-CR"/>
        </w:rPr>
      </w:pPr>
      <w:r w:rsidRPr="00A661AE">
        <w:rPr>
          <w:rFonts w:ascii="Times New Roman" w:eastAsia="Times New Roman" w:hAnsi="Times New Roman" w:cs="Times New Roman"/>
          <w:i/>
          <w:iCs/>
          <w:sz w:val="24"/>
          <w:szCs w:val="24"/>
          <w:u w:val="single"/>
          <w:lang w:eastAsia="es-CR"/>
        </w:rPr>
        <w:t>P</w:t>
      </w:r>
      <w:r w:rsidRPr="00A661AE">
        <w:rPr>
          <w:rFonts w:ascii="Times New Roman" w:eastAsia="Times New Roman" w:hAnsi="Times New Roman" w:cs="Times New Roman"/>
          <w:i/>
          <w:iCs/>
          <w:sz w:val="24"/>
          <w:szCs w:val="24"/>
          <w:u w:val="single"/>
          <w:vertAlign w:val="subscript"/>
          <w:lang w:eastAsia="es-CR"/>
        </w:rPr>
        <w:t>2</w:t>
      </w:r>
      <w:r w:rsidRPr="00A661AE">
        <w:rPr>
          <w:rFonts w:ascii="Times New Roman" w:eastAsia="Times New Roman" w:hAnsi="Times New Roman" w:cs="Times New Roman"/>
          <w:i/>
          <w:iCs/>
          <w:sz w:val="24"/>
          <w:szCs w:val="24"/>
          <w:u w:val="single"/>
          <w:lang w:eastAsia="es-CR"/>
        </w:rPr>
        <w:t xml:space="preserve"> – P</w:t>
      </w:r>
      <w:r w:rsidRPr="00A661AE">
        <w:rPr>
          <w:rFonts w:ascii="Times New Roman" w:eastAsia="Times New Roman" w:hAnsi="Times New Roman" w:cs="Times New Roman"/>
          <w:i/>
          <w:iCs/>
          <w:sz w:val="24"/>
          <w:szCs w:val="24"/>
          <w:u w:val="single"/>
          <w:vertAlign w:val="subscript"/>
          <w:lang w:eastAsia="es-CR"/>
        </w:rPr>
        <w:t>1</w:t>
      </w:r>
    </w:p>
    <w:p w14:paraId="17B22ACD" w14:textId="413034BC" w:rsidR="009736CD" w:rsidRPr="00A661AE" w:rsidRDefault="009736CD" w:rsidP="002518E4">
      <w:pPr>
        <w:spacing w:after="0" w:line="240" w:lineRule="auto"/>
        <w:jc w:val="center"/>
        <w:textAlignment w:val="center"/>
        <w:rPr>
          <w:rFonts w:ascii="Times New Roman" w:eastAsia="Times New Roman" w:hAnsi="Times New Roman" w:cs="Times New Roman"/>
          <w:i/>
          <w:iCs/>
          <w:sz w:val="24"/>
          <w:szCs w:val="24"/>
          <w:vertAlign w:val="subscript"/>
          <w:lang w:eastAsia="es-CR"/>
        </w:rPr>
      </w:pPr>
      <w:r w:rsidRPr="00A661AE">
        <w:rPr>
          <w:rFonts w:ascii="Times New Roman" w:eastAsia="Times New Roman" w:hAnsi="Times New Roman" w:cs="Times New Roman"/>
          <w:i/>
          <w:iCs/>
          <w:sz w:val="24"/>
          <w:szCs w:val="24"/>
          <w:lang w:eastAsia="es-CR"/>
        </w:rPr>
        <w:t>P</w:t>
      </w:r>
      <w:r w:rsidRPr="00A661AE">
        <w:rPr>
          <w:rFonts w:ascii="Times New Roman" w:eastAsia="Times New Roman" w:hAnsi="Times New Roman" w:cs="Times New Roman"/>
          <w:i/>
          <w:iCs/>
          <w:sz w:val="24"/>
          <w:szCs w:val="24"/>
          <w:vertAlign w:val="subscript"/>
          <w:lang w:eastAsia="es-CR"/>
        </w:rPr>
        <w:t>2</w:t>
      </w:r>
    </w:p>
    <w:p w14:paraId="2920C39B" w14:textId="77777777" w:rsidR="009736CD" w:rsidRPr="00A661AE" w:rsidRDefault="009736CD" w:rsidP="002518E4">
      <w:pPr>
        <w:spacing w:after="0" w:line="240" w:lineRule="auto"/>
        <w:jc w:val="both"/>
        <w:textAlignment w:val="center"/>
        <w:rPr>
          <w:rFonts w:ascii="Times New Roman" w:eastAsia="Times New Roman" w:hAnsi="Times New Roman" w:cs="Times New Roman"/>
          <w:i/>
          <w:iCs/>
          <w:sz w:val="24"/>
          <w:szCs w:val="24"/>
          <w:lang w:eastAsia="es-CR"/>
        </w:rPr>
      </w:pPr>
      <w:r w:rsidRPr="00A661AE">
        <w:rPr>
          <w:rFonts w:ascii="Times New Roman" w:eastAsia="Times New Roman" w:hAnsi="Times New Roman" w:cs="Times New Roman"/>
          <w:iCs/>
          <w:sz w:val="24"/>
          <w:szCs w:val="24"/>
          <w:lang w:val="es-419" w:eastAsia="es-CR"/>
        </w:rPr>
        <w:t xml:space="preserve">Donde </w:t>
      </w:r>
      <w:r w:rsidRPr="00A661AE">
        <w:rPr>
          <w:rFonts w:ascii="Times New Roman" w:eastAsia="Times New Roman" w:hAnsi="Times New Roman" w:cs="Times New Roman"/>
          <w:i/>
          <w:iCs/>
          <w:sz w:val="24"/>
          <w:szCs w:val="24"/>
          <w:lang w:eastAsia="es-CR"/>
        </w:rPr>
        <w:t>P</w:t>
      </w:r>
      <w:r w:rsidRPr="00A661AE">
        <w:rPr>
          <w:rFonts w:ascii="Times New Roman" w:eastAsia="Times New Roman" w:hAnsi="Times New Roman" w:cs="Times New Roman"/>
          <w:i/>
          <w:iCs/>
          <w:sz w:val="24"/>
          <w:szCs w:val="24"/>
          <w:vertAlign w:val="subscript"/>
          <w:lang w:eastAsia="es-CR"/>
        </w:rPr>
        <w:t>2</w:t>
      </w:r>
      <w:r w:rsidRPr="00A661AE">
        <w:rPr>
          <w:rFonts w:ascii="Times New Roman" w:eastAsia="Times New Roman" w:hAnsi="Times New Roman" w:cs="Times New Roman"/>
          <w:i/>
          <w:iCs/>
          <w:sz w:val="24"/>
          <w:szCs w:val="24"/>
          <w:lang w:eastAsia="es-CR"/>
        </w:rPr>
        <w:t>= Precio de venta</w:t>
      </w:r>
    </w:p>
    <w:p w14:paraId="68FCCF92" w14:textId="77777777" w:rsidR="009736CD" w:rsidRPr="00A661AE" w:rsidRDefault="009736CD" w:rsidP="002518E4">
      <w:pPr>
        <w:spacing w:after="0" w:line="240" w:lineRule="auto"/>
        <w:jc w:val="both"/>
        <w:textAlignment w:val="center"/>
        <w:rPr>
          <w:rFonts w:ascii="Times New Roman" w:eastAsia="Times New Roman" w:hAnsi="Times New Roman" w:cs="Times New Roman"/>
          <w:i/>
          <w:iCs/>
          <w:sz w:val="24"/>
          <w:szCs w:val="24"/>
          <w:lang w:eastAsia="es-CR"/>
        </w:rPr>
      </w:pPr>
      <w:r w:rsidRPr="00A661AE">
        <w:rPr>
          <w:rFonts w:ascii="Times New Roman" w:eastAsia="Times New Roman" w:hAnsi="Times New Roman" w:cs="Times New Roman"/>
          <w:i/>
          <w:iCs/>
          <w:sz w:val="24"/>
          <w:szCs w:val="24"/>
          <w:lang w:eastAsia="es-CR"/>
        </w:rPr>
        <w:tab/>
        <w:t>P</w:t>
      </w:r>
      <w:r w:rsidRPr="00A661AE">
        <w:rPr>
          <w:rFonts w:ascii="Times New Roman" w:eastAsia="Times New Roman" w:hAnsi="Times New Roman" w:cs="Times New Roman"/>
          <w:i/>
          <w:iCs/>
          <w:sz w:val="24"/>
          <w:szCs w:val="24"/>
          <w:vertAlign w:val="subscript"/>
          <w:lang w:eastAsia="es-CR"/>
        </w:rPr>
        <w:t>1</w:t>
      </w:r>
      <w:r w:rsidRPr="00A661AE">
        <w:rPr>
          <w:rFonts w:ascii="Times New Roman" w:eastAsia="Times New Roman" w:hAnsi="Times New Roman" w:cs="Times New Roman"/>
          <w:i/>
          <w:iCs/>
          <w:sz w:val="24"/>
          <w:szCs w:val="24"/>
          <w:lang w:eastAsia="es-CR"/>
        </w:rPr>
        <w:t xml:space="preserve"> =Precio de compra</w:t>
      </w:r>
    </w:p>
    <w:p w14:paraId="253E20CB" w14:textId="77777777" w:rsidR="009736CD" w:rsidRPr="00A661AE" w:rsidRDefault="009736CD" w:rsidP="002518E4">
      <w:pPr>
        <w:spacing w:after="0" w:line="240" w:lineRule="auto"/>
        <w:jc w:val="both"/>
        <w:rPr>
          <w:rFonts w:ascii="Times New Roman" w:hAnsi="Times New Roman" w:cs="Times New Roman"/>
          <w:sz w:val="24"/>
          <w:szCs w:val="24"/>
        </w:rPr>
      </w:pPr>
    </w:p>
    <w:p w14:paraId="5B7CD5B3" w14:textId="7B420CAA" w:rsidR="009736CD" w:rsidRPr="00A661AE" w:rsidRDefault="009736CD" w:rsidP="002518E4">
      <w:pPr>
        <w:spacing w:after="0" w:line="240" w:lineRule="auto"/>
        <w:jc w:val="both"/>
        <w:rPr>
          <w:rFonts w:ascii="Times New Roman" w:hAnsi="Times New Roman" w:cs="Times New Roman"/>
          <w:sz w:val="24"/>
          <w:szCs w:val="24"/>
        </w:rPr>
      </w:pPr>
      <w:r w:rsidRPr="00A661AE">
        <w:rPr>
          <w:rFonts w:ascii="Times New Roman" w:hAnsi="Times New Roman" w:cs="Times New Roman"/>
          <w:b/>
          <w:bCs/>
          <w:sz w:val="24"/>
          <w:szCs w:val="24"/>
        </w:rPr>
        <w:t>Artículo 3°.-</w:t>
      </w:r>
      <w:r w:rsidRPr="00A661AE">
        <w:rPr>
          <w:rFonts w:ascii="Times New Roman" w:hAnsi="Times New Roman" w:cs="Times New Roman"/>
          <w:sz w:val="24"/>
          <w:szCs w:val="24"/>
        </w:rPr>
        <w:t xml:space="preserve"> Los proveedores de medicamentos, tanto droguería como farmacias, tendrán la obligación de incluir en la factura electrónica y en las declaraciones aduaneras de importación el código de registro sanitario del medicamento, así como la unidad según la presentación del producto.</w:t>
      </w:r>
    </w:p>
    <w:p w14:paraId="5F1F1894" w14:textId="77777777" w:rsidR="009736CD" w:rsidRPr="00A661AE" w:rsidRDefault="009736CD" w:rsidP="002518E4">
      <w:pPr>
        <w:spacing w:after="0" w:line="240" w:lineRule="auto"/>
        <w:jc w:val="both"/>
        <w:rPr>
          <w:rFonts w:ascii="Times New Roman" w:hAnsi="Times New Roman" w:cs="Times New Roman"/>
          <w:sz w:val="24"/>
          <w:szCs w:val="24"/>
        </w:rPr>
      </w:pPr>
    </w:p>
    <w:p w14:paraId="46FEDCD4" w14:textId="68CA6142" w:rsidR="009736CD" w:rsidRPr="00A661AE" w:rsidRDefault="009736CD" w:rsidP="002518E4">
      <w:pPr>
        <w:spacing w:after="0" w:line="240" w:lineRule="auto"/>
        <w:jc w:val="both"/>
        <w:rPr>
          <w:rFonts w:ascii="Times New Roman" w:hAnsi="Times New Roman" w:cs="Times New Roman"/>
          <w:sz w:val="24"/>
          <w:szCs w:val="24"/>
        </w:rPr>
      </w:pPr>
      <w:r w:rsidRPr="00A661AE">
        <w:rPr>
          <w:rFonts w:ascii="Times New Roman" w:hAnsi="Times New Roman" w:cs="Times New Roman"/>
          <w:b/>
          <w:bCs/>
          <w:sz w:val="24"/>
          <w:szCs w:val="24"/>
        </w:rPr>
        <w:t>Artículo 4°.-</w:t>
      </w:r>
      <w:r w:rsidRPr="00A661AE">
        <w:rPr>
          <w:rFonts w:ascii="Times New Roman" w:hAnsi="Times New Roman" w:cs="Times New Roman"/>
          <w:sz w:val="24"/>
          <w:szCs w:val="24"/>
        </w:rPr>
        <w:t xml:space="preserve"> </w:t>
      </w:r>
      <w:r w:rsidR="001331C5" w:rsidRPr="00A661AE">
        <w:rPr>
          <w:rFonts w:ascii="Times New Roman" w:hAnsi="Times New Roman" w:cs="Times New Roman"/>
          <w:sz w:val="24"/>
          <w:szCs w:val="24"/>
        </w:rPr>
        <w:t xml:space="preserve">Durante la vigencia del </w:t>
      </w:r>
      <w:r w:rsidR="00F0041D" w:rsidRPr="00A661AE">
        <w:rPr>
          <w:rFonts w:ascii="Times New Roman" w:hAnsi="Times New Roman" w:cs="Times New Roman"/>
          <w:sz w:val="24"/>
          <w:szCs w:val="24"/>
        </w:rPr>
        <w:t xml:space="preserve">presente </w:t>
      </w:r>
      <w:r w:rsidR="001331C5" w:rsidRPr="00A661AE">
        <w:rPr>
          <w:rFonts w:ascii="Times New Roman" w:hAnsi="Times New Roman" w:cs="Times New Roman"/>
          <w:sz w:val="24"/>
          <w:szCs w:val="24"/>
        </w:rPr>
        <w:t xml:space="preserve">decreto el </w:t>
      </w:r>
      <w:r w:rsidRPr="00A661AE">
        <w:rPr>
          <w:rFonts w:ascii="Times New Roman" w:hAnsi="Times New Roman" w:cs="Times New Roman"/>
          <w:sz w:val="24"/>
          <w:szCs w:val="24"/>
        </w:rPr>
        <w:t>Ministerio de Hacienda y el Ministerio de Salud deberán facilitar al Ministerio de Economía, Industria y Comercio, mensualmente, la</w:t>
      </w:r>
      <w:r w:rsidR="00F0041D" w:rsidRPr="00A661AE">
        <w:rPr>
          <w:rFonts w:ascii="Times New Roman" w:hAnsi="Times New Roman" w:cs="Times New Roman"/>
          <w:sz w:val="24"/>
          <w:szCs w:val="24"/>
        </w:rPr>
        <w:t>s</w:t>
      </w:r>
      <w:r w:rsidRPr="00A661AE">
        <w:rPr>
          <w:rFonts w:ascii="Times New Roman" w:hAnsi="Times New Roman" w:cs="Times New Roman"/>
          <w:sz w:val="24"/>
          <w:szCs w:val="24"/>
        </w:rPr>
        <w:t xml:space="preserve"> base</w:t>
      </w:r>
      <w:r w:rsidR="00294CCD">
        <w:rPr>
          <w:rFonts w:ascii="Times New Roman" w:hAnsi="Times New Roman" w:cs="Times New Roman"/>
          <w:sz w:val="24"/>
          <w:szCs w:val="24"/>
        </w:rPr>
        <w:t>s</w:t>
      </w:r>
      <w:r w:rsidRPr="00A661AE">
        <w:rPr>
          <w:rFonts w:ascii="Times New Roman" w:hAnsi="Times New Roman" w:cs="Times New Roman"/>
          <w:sz w:val="24"/>
          <w:szCs w:val="24"/>
        </w:rPr>
        <w:t xml:space="preserve"> de datos de Factura Electrónica, importaciones y del registro sanitario de medicamentos, para que el MEIC pueda ejercer los controles correspondientes.</w:t>
      </w:r>
    </w:p>
    <w:p w14:paraId="3A6A7C8B" w14:textId="77777777" w:rsidR="009736CD" w:rsidRPr="00A661AE" w:rsidRDefault="009736CD" w:rsidP="002518E4">
      <w:pPr>
        <w:spacing w:after="0" w:line="240" w:lineRule="auto"/>
        <w:jc w:val="both"/>
        <w:rPr>
          <w:rFonts w:ascii="Times New Roman" w:hAnsi="Times New Roman" w:cs="Times New Roman"/>
          <w:sz w:val="24"/>
          <w:szCs w:val="24"/>
        </w:rPr>
      </w:pPr>
    </w:p>
    <w:p w14:paraId="0C42B87D" w14:textId="20EFDB14" w:rsidR="00294CCD" w:rsidRPr="00294CCD" w:rsidRDefault="009736CD" w:rsidP="00294CCD">
      <w:pPr>
        <w:spacing w:after="0" w:line="240" w:lineRule="auto"/>
        <w:jc w:val="both"/>
        <w:rPr>
          <w:rFonts w:ascii="Times New Roman" w:hAnsi="Times New Roman" w:cs="Times New Roman"/>
          <w:sz w:val="24"/>
          <w:szCs w:val="24"/>
        </w:rPr>
      </w:pPr>
      <w:r w:rsidRPr="00A661AE">
        <w:rPr>
          <w:rFonts w:ascii="Times New Roman" w:hAnsi="Times New Roman" w:cs="Times New Roman"/>
          <w:b/>
          <w:bCs/>
          <w:sz w:val="24"/>
          <w:szCs w:val="24"/>
        </w:rPr>
        <w:t>Artículo 5°.-</w:t>
      </w:r>
      <w:r w:rsidRPr="00A661AE">
        <w:rPr>
          <w:rFonts w:ascii="Times New Roman" w:hAnsi="Times New Roman" w:cs="Times New Roman"/>
          <w:sz w:val="24"/>
          <w:szCs w:val="24"/>
        </w:rPr>
        <w:t xml:space="preserve"> Vigencia. El presente Decreto regirá a partir del 1 de enero de 2025 hasta el 30 de junio de 2025.</w:t>
      </w:r>
      <w:r w:rsidR="00294CCD" w:rsidRPr="00294CCD">
        <w:rPr>
          <w:rFonts w:ascii="Segoe UI" w:eastAsia="Times New Roman" w:hAnsi="Segoe UI" w:cs="Segoe UI"/>
          <w:sz w:val="18"/>
          <w:szCs w:val="18"/>
          <w:lang w:eastAsia="es-CR"/>
        </w:rPr>
        <w:t xml:space="preserve"> </w:t>
      </w:r>
      <w:r w:rsidR="00294CCD" w:rsidRPr="00064117">
        <w:rPr>
          <w:rFonts w:ascii="Times New Roman" w:hAnsi="Times New Roman" w:cs="Times New Roman"/>
          <w:sz w:val="24"/>
          <w:szCs w:val="24"/>
        </w:rPr>
        <w:t>D</w:t>
      </w:r>
      <w:r w:rsidR="00294CCD" w:rsidRPr="00294CCD">
        <w:rPr>
          <w:rFonts w:ascii="Times New Roman" w:hAnsi="Times New Roman" w:cs="Times New Roman"/>
          <w:sz w:val="24"/>
          <w:szCs w:val="24"/>
        </w:rPr>
        <w:t>urante ese período se le dará seguimiento para determinar la prórroga o finalización de la medida.</w:t>
      </w:r>
    </w:p>
    <w:p w14:paraId="2238BDEF" w14:textId="76AC4E00" w:rsidR="009736CD" w:rsidRPr="00A661AE" w:rsidRDefault="009736CD" w:rsidP="002518E4">
      <w:pPr>
        <w:spacing w:after="0" w:line="240" w:lineRule="auto"/>
        <w:jc w:val="both"/>
        <w:rPr>
          <w:rFonts w:ascii="Times New Roman" w:hAnsi="Times New Roman" w:cs="Times New Roman"/>
          <w:sz w:val="24"/>
          <w:szCs w:val="24"/>
        </w:rPr>
      </w:pPr>
    </w:p>
    <w:p w14:paraId="75DB40B4" w14:textId="77777777" w:rsidR="009736CD" w:rsidRPr="00A661AE" w:rsidRDefault="009736CD" w:rsidP="002518E4">
      <w:pPr>
        <w:spacing w:after="0" w:line="240" w:lineRule="auto"/>
        <w:jc w:val="both"/>
        <w:rPr>
          <w:rFonts w:ascii="Times New Roman" w:hAnsi="Times New Roman" w:cs="Times New Roman"/>
          <w:sz w:val="24"/>
          <w:szCs w:val="24"/>
        </w:rPr>
      </w:pPr>
    </w:p>
    <w:p w14:paraId="774E3325" w14:textId="77777777" w:rsidR="009736CD" w:rsidRPr="00A661AE" w:rsidRDefault="009736CD" w:rsidP="002518E4">
      <w:pPr>
        <w:spacing w:after="0" w:line="240" w:lineRule="auto"/>
        <w:jc w:val="both"/>
        <w:rPr>
          <w:rFonts w:ascii="Times New Roman" w:hAnsi="Times New Roman" w:cs="Times New Roman"/>
          <w:sz w:val="24"/>
          <w:szCs w:val="24"/>
        </w:rPr>
      </w:pPr>
      <w:r w:rsidRPr="00A661AE">
        <w:rPr>
          <w:rFonts w:ascii="Times New Roman" w:hAnsi="Times New Roman" w:cs="Times New Roman"/>
          <w:sz w:val="24"/>
          <w:szCs w:val="24"/>
        </w:rPr>
        <w:t>Dado en la Presidencia de la República a los _____ días del mes de _____ del año dos mil veinticuatro.</w:t>
      </w:r>
    </w:p>
    <w:p w14:paraId="0DE66FA8" w14:textId="77777777" w:rsidR="00873CF0" w:rsidRPr="00A661AE" w:rsidRDefault="00873CF0" w:rsidP="002518E4">
      <w:pPr>
        <w:spacing w:after="0" w:line="240" w:lineRule="auto"/>
        <w:jc w:val="both"/>
        <w:rPr>
          <w:rFonts w:ascii="Times New Roman" w:hAnsi="Times New Roman" w:cs="Times New Roman"/>
          <w:sz w:val="24"/>
          <w:szCs w:val="24"/>
        </w:rPr>
      </w:pPr>
    </w:p>
    <w:p w14:paraId="72E8C98D" w14:textId="77777777" w:rsidR="00873CF0" w:rsidRPr="00E874D6" w:rsidRDefault="00873CF0" w:rsidP="002518E4">
      <w:pPr>
        <w:spacing w:after="0" w:line="240" w:lineRule="auto"/>
        <w:jc w:val="both"/>
        <w:rPr>
          <w:rFonts w:ascii="Times New Roman" w:hAnsi="Times New Roman" w:cs="Times New Roman"/>
          <w:sz w:val="24"/>
          <w:szCs w:val="24"/>
        </w:rPr>
      </w:pPr>
    </w:p>
    <w:p w14:paraId="24A34D46" w14:textId="77777777" w:rsidR="00B476C9" w:rsidRPr="00E874D6" w:rsidRDefault="00B476C9" w:rsidP="002518E4">
      <w:pPr>
        <w:spacing w:after="0" w:line="240" w:lineRule="auto"/>
        <w:jc w:val="both"/>
        <w:rPr>
          <w:rFonts w:ascii="Times New Roman" w:hAnsi="Times New Roman" w:cs="Times New Roman"/>
          <w:sz w:val="24"/>
          <w:szCs w:val="24"/>
        </w:rPr>
      </w:pPr>
    </w:p>
    <w:p w14:paraId="67890F32" w14:textId="77777777" w:rsidR="00873CF0" w:rsidRPr="00E874D6" w:rsidRDefault="00873CF0" w:rsidP="002518E4">
      <w:pPr>
        <w:spacing w:after="0" w:line="240" w:lineRule="auto"/>
        <w:jc w:val="both"/>
        <w:rPr>
          <w:rFonts w:ascii="Times New Roman" w:hAnsi="Times New Roman" w:cs="Times New Roman"/>
          <w:sz w:val="24"/>
          <w:szCs w:val="24"/>
        </w:rPr>
      </w:pPr>
    </w:p>
    <w:p w14:paraId="1018DD70" w14:textId="77777777" w:rsidR="00873CF0" w:rsidRPr="00A661AE" w:rsidRDefault="00873CF0" w:rsidP="002518E4">
      <w:pPr>
        <w:spacing w:after="0" w:line="240" w:lineRule="auto"/>
        <w:jc w:val="both"/>
        <w:rPr>
          <w:rFonts w:ascii="Times New Roman" w:hAnsi="Times New Roman" w:cs="Times New Roman"/>
          <w:b/>
          <w:bCs/>
          <w:sz w:val="24"/>
          <w:szCs w:val="24"/>
          <w:lang w:val="pt-PT"/>
        </w:rPr>
      </w:pPr>
      <w:r w:rsidRPr="00A661AE">
        <w:rPr>
          <w:rFonts w:ascii="Times New Roman" w:hAnsi="Times New Roman" w:cs="Times New Roman"/>
          <w:b/>
          <w:bCs/>
          <w:sz w:val="24"/>
          <w:szCs w:val="24"/>
          <w:lang w:val="pt-PT"/>
        </w:rPr>
        <w:t>RODRIGO CHAVES ROBLES</w:t>
      </w:r>
    </w:p>
    <w:p w14:paraId="0E6A0C81" w14:textId="77777777" w:rsidR="00873CF0" w:rsidRPr="00A661AE" w:rsidRDefault="00873CF0" w:rsidP="002518E4">
      <w:pPr>
        <w:spacing w:after="0" w:line="240" w:lineRule="auto"/>
        <w:jc w:val="both"/>
        <w:rPr>
          <w:rFonts w:ascii="Times New Roman" w:hAnsi="Times New Roman" w:cs="Times New Roman"/>
          <w:sz w:val="24"/>
          <w:szCs w:val="24"/>
          <w:lang w:val="pt-PT"/>
        </w:rPr>
      </w:pPr>
    </w:p>
    <w:p w14:paraId="156E664A" w14:textId="77777777" w:rsidR="00873CF0" w:rsidRPr="00A661AE" w:rsidRDefault="00873CF0" w:rsidP="002518E4">
      <w:pPr>
        <w:spacing w:after="0" w:line="240" w:lineRule="auto"/>
        <w:jc w:val="both"/>
        <w:rPr>
          <w:rFonts w:ascii="Times New Roman" w:hAnsi="Times New Roman" w:cs="Times New Roman"/>
          <w:sz w:val="24"/>
          <w:szCs w:val="24"/>
          <w:lang w:val="pt-PT"/>
        </w:rPr>
      </w:pPr>
    </w:p>
    <w:p w14:paraId="4756EBEA" w14:textId="77777777" w:rsidR="00873CF0" w:rsidRPr="00A661AE" w:rsidRDefault="00873CF0" w:rsidP="002518E4">
      <w:pPr>
        <w:spacing w:after="0" w:line="240" w:lineRule="auto"/>
        <w:jc w:val="both"/>
        <w:rPr>
          <w:rFonts w:ascii="Times New Roman" w:hAnsi="Times New Roman" w:cs="Times New Roman"/>
          <w:sz w:val="24"/>
          <w:szCs w:val="24"/>
          <w:lang w:val="pt-PT"/>
        </w:rPr>
      </w:pPr>
    </w:p>
    <w:p w14:paraId="6CA55156" w14:textId="77777777" w:rsidR="00873CF0" w:rsidRPr="00A661AE" w:rsidRDefault="00873CF0" w:rsidP="002518E4">
      <w:pPr>
        <w:spacing w:after="0" w:line="240" w:lineRule="auto"/>
        <w:jc w:val="center"/>
        <w:rPr>
          <w:rFonts w:ascii="Times New Roman" w:hAnsi="Times New Roman" w:cs="Times New Roman"/>
          <w:b/>
          <w:bCs/>
          <w:sz w:val="24"/>
          <w:szCs w:val="24"/>
          <w:lang w:val="pt-PT"/>
        </w:rPr>
      </w:pPr>
      <w:r w:rsidRPr="00A661AE">
        <w:rPr>
          <w:rFonts w:ascii="Times New Roman" w:hAnsi="Times New Roman" w:cs="Times New Roman"/>
          <w:b/>
          <w:bCs/>
          <w:sz w:val="24"/>
          <w:szCs w:val="24"/>
          <w:lang w:val="pt-PT"/>
        </w:rPr>
        <w:t>Francisco Gamboa Soto</w:t>
      </w:r>
    </w:p>
    <w:p w14:paraId="1D2E4E93" w14:textId="77777777" w:rsidR="00873CF0" w:rsidRPr="00A661AE" w:rsidRDefault="00873CF0" w:rsidP="002518E4">
      <w:pPr>
        <w:spacing w:after="0" w:line="240" w:lineRule="auto"/>
        <w:jc w:val="center"/>
        <w:rPr>
          <w:rFonts w:ascii="Times New Roman" w:hAnsi="Times New Roman" w:cs="Times New Roman"/>
          <w:b/>
          <w:bCs/>
          <w:sz w:val="24"/>
          <w:szCs w:val="24"/>
        </w:rPr>
      </w:pPr>
      <w:r w:rsidRPr="00A661AE">
        <w:rPr>
          <w:rFonts w:ascii="Times New Roman" w:hAnsi="Times New Roman" w:cs="Times New Roman"/>
          <w:b/>
          <w:bCs/>
          <w:sz w:val="24"/>
          <w:szCs w:val="24"/>
        </w:rPr>
        <w:t>Ministro de Economía, Industria y Comercio</w:t>
      </w:r>
    </w:p>
    <w:p w14:paraId="0E0D1917" w14:textId="77777777" w:rsidR="009736CD" w:rsidRPr="00A661AE" w:rsidRDefault="009736CD" w:rsidP="002518E4">
      <w:pPr>
        <w:spacing w:after="0" w:line="240" w:lineRule="auto"/>
        <w:jc w:val="both"/>
        <w:rPr>
          <w:rFonts w:ascii="Times New Roman" w:hAnsi="Times New Roman" w:cs="Times New Roman"/>
          <w:sz w:val="24"/>
          <w:szCs w:val="24"/>
        </w:rPr>
      </w:pPr>
    </w:p>
    <w:p w14:paraId="6ED4CEDE" w14:textId="77777777" w:rsidR="009736CD" w:rsidRPr="00A661AE" w:rsidRDefault="009736CD" w:rsidP="002518E4">
      <w:pPr>
        <w:spacing w:after="0" w:line="240" w:lineRule="auto"/>
        <w:jc w:val="both"/>
        <w:rPr>
          <w:rFonts w:ascii="Times New Roman" w:hAnsi="Times New Roman" w:cs="Times New Roman"/>
          <w:sz w:val="24"/>
          <w:szCs w:val="24"/>
        </w:rPr>
      </w:pPr>
    </w:p>
    <w:sectPr w:rsidR="009736CD" w:rsidRPr="00A661AE">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4D312" w14:textId="77777777" w:rsidR="00F6699A" w:rsidRDefault="00F6699A" w:rsidP="00E62918">
      <w:pPr>
        <w:spacing w:after="0" w:line="240" w:lineRule="auto"/>
      </w:pPr>
      <w:r>
        <w:separator/>
      </w:r>
    </w:p>
  </w:endnote>
  <w:endnote w:type="continuationSeparator" w:id="0">
    <w:p w14:paraId="2CD017E1" w14:textId="77777777" w:rsidR="00F6699A" w:rsidRDefault="00F6699A" w:rsidP="00E6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ndersonSansW00-BasicSmBd">
    <w:altName w:val="Calibri"/>
    <w:charset w:val="00"/>
    <w:family w:val="auto"/>
    <w:pitch w:val="variable"/>
    <w:sig w:usb0="A000002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840285"/>
      <w:docPartObj>
        <w:docPartGallery w:val="Page Numbers (Bottom of Page)"/>
        <w:docPartUnique/>
      </w:docPartObj>
    </w:sdtPr>
    <w:sdtEndPr/>
    <w:sdtContent>
      <w:p w14:paraId="01039827" w14:textId="5C9E5282" w:rsidR="002518E4" w:rsidRDefault="002518E4">
        <w:pPr>
          <w:pStyle w:val="Piedepgina"/>
          <w:jc w:val="right"/>
        </w:pPr>
        <w:r>
          <w:fldChar w:fldCharType="begin"/>
        </w:r>
        <w:r>
          <w:instrText>PAGE   \* MERGEFORMAT</w:instrText>
        </w:r>
        <w:r>
          <w:fldChar w:fldCharType="separate"/>
        </w:r>
        <w:r>
          <w:rPr>
            <w:lang w:val="es-ES"/>
          </w:rPr>
          <w:t>2</w:t>
        </w:r>
        <w:r>
          <w:fldChar w:fldCharType="end"/>
        </w:r>
      </w:p>
    </w:sdtContent>
  </w:sdt>
  <w:p w14:paraId="40DDD677" w14:textId="77777777" w:rsidR="002518E4" w:rsidRDefault="002518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AB30E" w14:textId="77777777" w:rsidR="00F6699A" w:rsidRDefault="00F6699A" w:rsidP="00E62918">
      <w:pPr>
        <w:spacing w:after="0" w:line="240" w:lineRule="auto"/>
      </w:pPr>
      <w:r>
        <w:separator/>
      </w:r>
    </w:p>
  </w:footnote>
  <w:footnote w:type="continuationSeparator" w:id="0">
    <w:p w14:paraId="08548354" w14:textId="77777777" w:rsidR="00F6699A" w:rsidRDefault="00F6699A" w:rsidP="00E62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16D2"/>
    <w:multiLevelType w:val="hybridMultilevel"/>
    <w:tmpl w:val="79C63794"/>
    <w:lvl w:ilvl="0" w:tplc="B510A5B0">
      <w:start w:val="1"/>
      <w:numFmt w:val="upperRoman"/>
      <w:lvlText w:val="%1."/>
      <w:lvlJc w:val="right"/>
      <w:pPr>
        <w:ind w:left="720" w:hanging="360"/>
      </w:pPr>
      <w:rPr>
        <w:rFonts w:ascii="Times New Roman" w:hAnsi="Times New Roman"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1E9643C"/>
    <w:multiLevelType w:val="multilevel"/>
    <w:tmpl w:val="9042CD04"/>
    <w:lvl w:ilvl="0">
      <w:start w:val="1"/>
      <w:numFmt w:val="decimal"/>
      <w:lvlText w:val="%1."/>
      <w:lvlJc w:val="left"/>
      <w:pPr>
        <w:ind w:left="360" w:hanging="360"/>
      </w:pPr>
      <w:rPr>
        <w:rFonts w:hint="default"/>
      </w:rPr>
    </w:lvl>
    <w:lvl w:ilvl="1">
      <w:start w:val="1"/>
      <w:numFmt w:val="decimal"/>
      <w:lvlText w:val="%1.%2."/>
      <w:lvlJc w:val="left"/>
      <w:pPr>
        <w:ind w:left="624" w:hanging="264"/>
      </w:pPr>
      <w:rPr>
        <w:rFonts w:ascii="HendersonSansW00-BasicSmBd" w:hAnsi="HendersonSansW00-BasicSmBd" w:hint="default"/>
      </w:rPr>
    </w:lvl>
    <w:lvl w:ilvl="2">
      <w:start w:val="1"/>
      <w:numFmt w:val="decimal"/>
      <w:lvlText w:val="%1.%2.%3."/>
      <w:lvlJc w:val="left"/>
      <w:pPr>
        <w:ind w:left="1224" w:hanging="504"/>
      </w:pPr>
      <w:rPr>
        <w:rFonts w:ascii="HendersonSansW00-BasicSmBd" w:hAnsi="HendersonSansW00-BasicSmBd"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A731BFB"/>
    <w:multiLevelType w:val="hybridMultilevel"/>
    <w:tmpl w:val="082006F0"/>
    <w:lvl w:ilvl="0" w:tplc="6BA89030">
      <w:start w:val="1"/>
      <w:numFmt w:val="low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 w15:restartNumberingAfterBreak="0">
    <w:nsid w:val="6A42250B"/>
    <w:multiLevelType w:val="hybridMultilevel"/>
    <w:tmpl w:val="8D568422"/>
    <w:lvl w:ilvl="0" w:tplc="9FD65718">
      <w:start w:val="1"/>
      <w:numFmt w:val="upperRoman"/>
      <w:lvlText w:val="%1."/>
      <w:lvlJc w:val="right"/>
      <w:pPr>
        <w:ind w:left="720" w:hanging="360"/>
      </w:pPr>
      <w:rPr>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772139A"/>
    <w:multiLevelType w:val="hybridMultilevel"/>
    <w:tmpl w:val="C8DE71AA"/>
    <w:lvl w:ilvl="0" w:tplc="60506778">
      <w:start w:val="1"/>
      <w:numFmt w:val="upperRoman"/>
      <w:lvlText w:val="%1."/>
      <w:lvlJc w:val="left"/>
      <w:pPr>
        <w:ind w:left="720" w:hanging="72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78D31693"/>
    <w:multiLevelType w:val="hybridMultilevel"/>
    <w:tmpl w:val="F42CCFEA"/>
    <w:lvl w:ilvl="0" w:tplc="40B83FE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C32598C"/>
    <w:multiLevelType w:val="hybridMultilevel"/>
    <w:tmpl w:val="BF104AD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207064124">
    <w:abstractNumId w:val="0"/>
  </w:num>
  <w:num w:numId="2" w16cid:durableId="1617327659">
    <w:abstractNumId w:val="5"/>
  </w:num>
  <w:num w:numId="3" w16cid:durableId="1710757209">
    <w:abstractNumId w:val="2"/>
  </w:num>
  <w:num w:numId="4" w16cid:durableId="636839046">
    <w:abstractNumId w:val="1"/>
  </w:num>
  <w:num w:numId="5" w16cid:durableId="1726175978">
    <w:abstractNumId w:val="6"/>
  </w:num>
  <w:num w:numId="6" w16cid:durableId="2131043623">
    <w:abstractNumId w:val="3"/>
  </w:num>
  <w:num w:numId="7" w16cid:durableId="936401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CD"/>
    <w:rsid w:val="00001039"/>
    <w:rsid w:val="00035C2A"/>
    <w:rsid w:val="00035C6D"/>
    <w:rsid w:val="00064117"/>
    <w:rsid w:val="00064B21"/>
    <w:rsid w:val="00090D5B"/>
    <w:rsid w:val="00094761"/>
    <w:rsid w:val="000B7C63"/>
    <w:rsid w:val="000E27E1"/>
    <w:rsid w:val="0011634B"/>
    <w:rsid w:val="0012651A"/>
    <w:rsid w:val="001331C5"/>
    <w:rsid w:val="00135B18"/>
    <w:rsid w:val="0014495C"/>
    <w:rsid w:val="00187AEA"/>
    <w:rsid w:val="00191C40"/>
    <w:rsid w:val="001C6605"/>
    <w:rsid w:val="001D63C5"/>
    <w:rsid w:val="001E248B"/>
    <w:rsid w:val="001F04F1"/>
    <w:rsid w:val="001F5341"/>
    <w:rsid w:val="00222A45"/>
    <w:rsid w:val="0022311C"/>
    <w:rsid w:val="002260FC"/>
    <w:rsid w:val="00233CAF"/>
    <w:rsid w:val="002518E4"/>
    <w:rsid w:val="00256605"/>
    <w:rsid w:val="002621C7"/>
    <w:rsid w:val="00294CCD"/>
    <w:rsid w:val="00297B96"/>
    <w:rsid w:val="00324465"/>
    <w:rsid w:val="00350125"/>
    <w:rsid w:val="00351185"/>
    <w:rsid w:val="003670FB"/>
    <w:rsid w:val="00371F4E"/>
    <w:rsid w:val="00386831"/>
    <w:rsid w:val="00391282"/>
    <w:rsid w:val="003972C4"/>
    <w:rsid w:val="003A4699"/>
    <w:rsid w:val="003B1BF3"/>
    <w:rsid w:val="003C61CC"/>
    <w:rsid w:val="003C6C54"/>
    <w:rsid w:val="003E6516"/>
    <w:rsid w:val="00404B88"/>
    <w:rsid w:val="00460526"/>
    <w:rsid w:val="00475DD7"/>
    <w:rsid w:val="00511F71"/>
    <w:rsid w:val="005243EA"/>
    <w:rsid w:val="00535563"/>
    <w:rsid w:val="00540746"/>
    <w:rsid w:val="00542474"/>
    <w:rsid w:val="00553517"/>
    <w:rsid w:val="00556104"/>
    <w:rsid w:val="00575CC9"/>
    <w:rsid w:val="00593E61"/>
    <w:rsid w:val="005B5294"/>
    <w:rsid w:val="005C3477"/>
    <w:rsid w:val="005C4BE5"/>
    <w:rsid w:val="00602E22"/>
    <w:rsid w:val="00604D50"/>
    <w:rsid w:val="00615DDB"/>
    <w:rsid w:val="00617383"/>
    <w:rsid w:val="00632DE4"/>
    <w:rsid w:val="0063465E"/>
    <w:rsid w:val="006826C3"/>
    <w:rsid w:val="00692879"/>
    <w:rsid w:val="006B7A0F"/>
    <w:rsid w:val="006C7A55"/>
    <w:rsid w:val="006D3D73"/>
    <w:rsid w:val="00731A71"/>
    <w:rsid w:val="007516C5"/>
    <w:rsid w:val="00756BD4"/>
    <w:rsid w:val="00790D25"/>
    <w:rsid w:val="007A2FC8"/>
    <w:rsid w:val="007C1D06"/>
    <w:rsid w:val="007F387E"/>
    <w:rsid w:val="00810241"/>
    <w:rsid w:val="0084017C"/>
    <w:rsid w:val="00841609"/>
    <w:rsid w:val="00841E16"/>
    <w:rsid w:val="00847365"/>
    <w:rsid w:val="008575B4"/>
    <w:rsid w:val="00873CF0"/>
    <w:rsid w:val="008904DE"/>
    <w:rsid w:val="008B0FCC"/>
    <w:rsid w:val="008C2B1C"/>
    <w:rsid w:val="008C2CA1"/>
    <w:rsid w:val="008D56FC"/>
    <w:rsid w:val="008F6329"/>
    <w:rsid w:val="008F7305"/>
    <w:rsid w:val="008F7829"/>
    <w:rsid w:val="009113EA"/>
    <w:rsid w:val="009536C2"/>
    <w:rsid w:val="009548D9"/>
    <w:rsid w:val="009736CD"/>
    <w:rsid w:val="00984760"/>
    <w:rsid w:val="00990649"/>
    <w:rsid w:val="009A3C87"/>
    <w:rsid w:val="009B5B59"/>
    <w:rsid w:val="009F3F8A"/>
    <w:rsid w:val="00A04915"/>
    <w:rsid w:val="00A236A4"/>
    <w:rsid w:val="00A34ED4"/>
    <w:rsid w:val="00A56640"/>
    <w:rsid w:val="00A661AE"/>
    <w:rsid w:val="00A82459"/>
    <w:rsid w:val="00A86D09"/>
    <w:rsid w:val="00A951B7"/>
    <w:rsid w:val="00AA7FA7"/>
    <w:rsid w:val="00AB545D"/>
    <w:rsid w:val="00AC5376"/>
    <w:rsid w:val="00AD785E"/>
    <w:rsid w:val="00AE5E1A"/>
    <w:rsid w:val="00B008F5"/>
    <w:rsid w:val="00B16D93"/>
    <w:rsid w:val="00B3192E"/>
    <w:rsid w:val="00B476C9"/>
    <w:rsid w:val="00B65BFB"/>
    <w:rsid w:val="00B87AD6"/>
    <w:rsid w:val="00BA026D"/>
    <w:rsid w:val="00BC5909"/>
    <w:rsid w:val="00BE201D"/>
    <w:rsid w:val="00BE5A71"/>
    <w:rsid w:val="00BF144A"/>
    <w:rsid w:val="00C041C5"/>
    <w:rsid w:val="00C21F43"/>
    <w:rsid w:val="00C25033"/>
    <w:rsid w:val="00C538F8"/>
    <w:rsid w:val="00C63DCB"/>
    <w:rsid w:val="00C664BA"/>
    <w:rsid w:val="00CA1FBC"/>
    <w:rsid w:val="00CA40F2"/>
    <w:rsid w:val="00CC3ADA"/>
    <w:rsid w:val="00D07ED2"/>
    <w:rsid w:val="00D51416"/>
    <w:rsid w:val="00D52F00"/>
    <w:rsid w:val="00D67921"/>
    <w:rsid w:val="00DA15E4"/>
    <w:rsid w:val="00DC494D"/>
    <w:rsid w:val="00DF1DF9"/>
    <w:rsid w:val="00DF3B2C"/>
    <w:rsid w:val="00E00603"/>
    <w:rsid w:val="00E0759C"/>
    <w:rsid w:val="00E3208A"/>
    <w:rsid w:val="00E33F36"/>
    <w:rsid w:val="00E4122A"/>
    <w:rsid w:val="00E53B15"/>
    <w:rsid w:val="00E578D7"/>
    <w:rsid w:val="00E61055"/>
    <w:rsid w:val="00E62918"/>
    <w:rsid w:val="00E77D40"/>
    <w:rsid w:val="00E874D6"/>
    <w:rsid w:val="00EA5713"/>
    <w:rsid w:val="00EB5D72"/>
    <w:rsid w:val="00EC0B68"/>
    <w:rsid w:val="00EC1BAA"/>
    <w:rsid w:val="00EC3D2D"/>
    <w:rsid w:val="00EC4B63"/>
    <w:rsid w:val="00EF0207"/>
    <w:rsid w:val="00F0041D"/>
    <w:rsid w:val="00F04682"/>
    <w:rsid w:val="00F10EA0"/>
    <w:rsid w:val="00F13F5C"/>
    <w:rsid w:val="00F229DC"/>
    <w:rsid w:val="00F25B4D"/>
    <w:rsid w:val="00F440ED"/>
    <w:rsid w:val="00F66572"/>
    <w:rsid w:val="00F6699A"/>
    <w:rsid w:val="00F80298"/>
    <w:rsid w:val="00FB2D77"/>
    <w:rsid w:val="00FB6A78"/>
    <w:rsid w:val="00FD36C3"/>
    <w:rsid w:val="00FE2AA8"/>
    <w:rsid w:val="00FE606B"/>
    <w:rsid w:val="00FF616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B9B111"/>
  <w15:chartTrackingRefBased/>
  <w15:docId w15:val="{5126685D-5A6B-4268-97CD-A3DB7A5E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73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73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736C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736C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736C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736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736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736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736C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36C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736C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736C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736C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736C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736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736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736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736CD"/>
    <w:rPr>
      <w:rFonts w:eastAsiaTheme="majorEastAsia" w:cstheme="majorBidi"/>
      <w:color w:val="272727" w:themeColor="text1" w:themeTint="D8"/>
    </w:rPr>
  </w:style>
  <w:style w:type="paragraph" w:styleId="Ttulo">
    <w:name w:val="Title"/>
    <w:basedOn w:val="Normal"/>
    <w:next w:val="Normal"/>
    <w:link w:val="TtuloCar"/>
    <w:uiPriority w:val="10"/>
    <w:qFormat/>
    <w:rsid w:val="00973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36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736C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736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736CD"/>
    <w:pPr>
      <w:spacing w:before="160"/>
      <w:jc w:val="center"/>
    </w:pPr>
    <w:rPr>
      <w:i/>
      <w:iCs/>
      <w:color w:val="404040" w:themeColor="text1" w:themeTint="BF"/>
    </w:rPr>
  </w:style>
  <w:style w:type="character" w:customStyle="1" w:styleId="CitaCar">
    <w:name w:val="Cita Car"/>
    <w:basedOn w:val="Fuentedeprrafopredeter"/>
    <w:link w:val="Cita"/>
    <w:uiPriority w:val="29"/>
    <w:rsid w:val="009736CD"/>
    <w:rPr>
      <w:i/>
      <w:iCs/>
      <w:color w:val="404040" w:themeColor="text1" w:themeTint="BF"/>
    </w:rPr>
  </w:style>
  <w:style w:type="paragraph" w:styleId="Prrafodelista">
    <w:name w:val="List Paragraph"/>
    <w:basedOn w:val="Normal"/>
    <w:link w:val="PrrafodelistaCar"/>
    <w:uiPriority w:val="34"/>
    <w:qFormat/>
    <w:rsid w:val="009736CD"/>
    <w:pPr>
      <w:ind w:left="720"/>
      <w:contextualSpacing/>
    </w:pPr>
  </w:style>
  <w:style w:type="character" w:styleId="nfasisintenso">
    <w:name w:val="Intense Emphasis"/>
    <w:basedOn w:val="Fuentedeprrafopredeter"/>
    <w:uiPriority w:val="21"/>
    <w:qFormat/>
    <w:rsid w:val="009736CD"/>
    <w:rPr>
      <w:i/>
      <w:iCs/>
      <w:color w:val="0F4761" w:themeColor="accent1" w:themeShade="BF"/>
    </w:rPr>
  </w:style>
  <w:style w:type="paragraph" w:styleId="Citadestacada">
    <w:name w:val="Intense Quote"/>
    <w:basedOn w:val="Normal"/>
    <w:next w:val="Normal"/>
    <w:link w:val="CitadestacadaCar"/>
    <w:uiPriority w:val="30"/>
    <w:qFormat/>
    <w:rsid w:val="00973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736CD"/>
    <w:rPr>
      <w:i/>
      <w:iCs/>
      <w:color w:val="0F4761" w:themeColor="accent1" w:themeShade="BF"/>
    </w:rPr>
  </w:style>
  <w:style w:type="character" w:styleId="Referenciaintensa">
    <w:name w:val="Intense Reference"/>
    <w:basedOn w:val="Fuentedeprrafopredeter"/>
    <w:uiPriority w:val="32"/>
    <w:qFormat/>
    <w:rsid w:val="009736CD"/>
    <w:rPr>
      <w:b/>
      <w:bCs/>
      <w:smallCaps/>
      <w:color w:val="0F4761" w:themeColor="accent1" w:themeShade="BF"/>
      <w:spacing w:val="5"/>
    </w:rPr>
  </w:style>
  <w:style w:type="paragraph" w:styleId="Revisin">
    <w:name w:val="Revision"/>
    <w:hidden/>
    <w:uiPriority w:val="99"/>
    <w:semiHidden/>
    <w:rsid w:val="00632DE4"/>
    <w:pPr>
      <w:spacing w:after="0" w:line="240" w:lineRule="auto"/>
    </w:pPr>
  </w:style>
  <w:style w:type="character" w:styleId="Refdecomentario">
    <w:name w:val="annotation reference"/>
    <w:basedOn w:val="Fuentedeprrafopredeter"/>
    <w:uiPriority w:val="99"/>
    <w:semiHidden/>
    <w:unhideWhenUsed/>
    <w:rsid w:val="00556104"/>
    <w:rPr>
      <w:sz w:val="16"/>
      <w:szCs w:val="16"/>
    </w:rPr>
  </w:style>
  <w:style w:type="paragraph" w:styleId="Textocomentario">
    <w:name w:val="annotation text"/>
    <w:basedOn w:val="Normal"/>
    <w:link w:val="TextocomentarioCar"/>
    <w:uiPriority w:val="99"/>
    <w:unhideWhenUsed/>
    <w:rsid w:val="00556104"/>
    <w:pPr>
      <w:spacing w:line="240" w:lineRule="auto"/>
    </w:pPr>
    <w:rPr>
      <w:sz w:val="20"/>
      <w:szCs w:val="20"/>
    </w:rPr>
  </w:style>
  <w:style w:type="character" w:customStyle="1" w:styleId="TextocomentarioCar">
    <w:name w:val="Texto comentario Car"/>
    <w:basedOn w:val="Fuentedeprrafopredeter"/>
    <w:link w:val="Textocomentario"/>
    <w:uiPriority w:val="99"/>
    <w:rsid w:val="00556104"/>
    <w:rPr>
      <w:sz w:val="20"/>
      <w:szCs w:val="20"/>
    </w:rPr>
  </w:style>
  <w:style w:type="paragraph" w:styleId="Asuntodelcomentario">
    <w:name w:val="annotation subject"/>
    <w:basedOn w:val="Textocomentario"/>
    <w:next w:val="Textocomentario"/>
    <w:link w:val="AsuntodelcomentarioCar"/>
    <w:uiPriority w:val="99"/>
    <w:semiHidden/>
    <w:unhideWhenUsed/>
    <w:rsid w:val="00556104"/>
    <w:rPr>
      <w:b/>
      <w:bCs/>
    </w:rPr>
  </w:style>
  <w:style w:type="character" w:customStyle="1" w:styleId="AsuntodelcomentarioCar">
    <w:name w:val="Asunto del comentario Car"/>
    <w:basedOn w:val="TextocomentarioCar"/>
    <w:link w:val="Asuntodelcomentario"/>
    <w:uiPriority w:val="99"/>
    <w:semiHidden/>
    <w:rsid w:val="00556104"/>
    <w:rPr>
      <w:b/>
      <w:bCs/>
      <w:sz w:val="20"/>
      <w:szCs w:val="20"/>
    </w:rPr>
  </w:style>
  <w:style w:type="paragraph" w:styleId="Descripcin">
    <w:name w:val="caption"/>
    <w:basedOn w:val="Normal"/>
    <w:next w:val="Normal"/>
    <w:uiPriority w:val="35"/>
    <w:unhideWhenUsed/>
    <w:qFormat/>
    <w:rsid w:val="00EC1BAA"/>
    <w:pPr>
      <w:spacing w:after="200" w:line="240" w:lineRule="auto"/>
      <w:jc w:val="both"/>
    </w:pPr>
    <w:rPr>
      <w:rFonts w:ascii="Arial" w:eastAsia="Calibri" w:hAnsi="Arial" w:cs="Times New Roman"/>
      <w:i/>
      <w:iCs/>
      <w:color w:val="0E2841" w:themeColor="text2"/>
      <w:sz w:val="18"/>
      <w:szCs w:val="18"/>
      <w:lang w:val="es-ES"/>
    </w:rPr>
  </w:style>
  <w:style w:type="paragraph" w:styleId="Textonotapie">
    <w:name w:val="footnote text"/>
    <w:basedOn w:val="Normal"/>
    <w:link w:val="TextonotapieCar"/>
    <w:uiPriority w:val="99"/>
    <w:unhideWhenUsed/>
    <w:rsid w:val="00E62918"/>
    <w:pPr>
      <w:spacing w:after="0" w:line="240" w:lineRule="auto"/>
      <w:jc w:val="both"/>
    </w:pPr>
    <w:rPr>
      <w:rFonts w:ascii="Arial" w:eastAsia="Calibri" w:hAnsi="Arial" w:cs="Times New Roman"/>
      <w:sz w:val="20"/>
      <w:szCs w:val="20"/>
      <w:lang w:val="es-ES"/>
    </w:rPr>
  </w:style>
  <w:style w:type="character" w:customStyle="1" w:styleId="TextonotapieCar">
    <w:name w:val="Texto nota pie Car"/>
    <w:basedOn w:val="Fuentedeprrafopredeter"/>
    <w:link w:val="Textonotapie"/>
    <w:uiPriority w:val="99"/>
    <w:rsid w:val="00E62918"/>
    <w:rPr>
      <w:rFonts w:ascii="Arial" w:eastAsia="Calibri" w:hAnsi="Arial" w:cs="Times New Roman"/>
      <w:sz w:val="20"/>
      <w:szCs w:val="20"/>
      <w:lang w:val="es-ES"/>
    </w:rPr>
  </w:style>
  <w:style w:type="character" w:styleId="Refdenotaalpie">
    <w:name w:val="footnote reference"/>
    <w:basedOn w:val="Fuentedeprrafopredeter"/>
    <w:uiPriority w:val="99"/>
    <w:semiHidden/>
    <w:unhideWhenUsed/>
    <w:rsid w:val="00E62918"/>
    <w:rPr>
      <w:vertAlign w:val="superscript"/>
    </w:rPr>
  </w:style>
  <w:style w:type="character" w:styleId="Hipervnculo">
    <w:name w:val="Hyperlink"/>
    <w:basedOn w:val="Fuentedeprrafopredeter"/>
    <w:uiPriority w:val="99"/>
    <w:unhideWhenUsed/>
    <w:rsid w:val="00E62918"/>
    <w:rPr>
      <w:color w:val="0000FF"/>
      <w:u w:val="single"/>
    </w:rPr>
  </w:style>
  <w:style w:type="character" w:customStyle="1" w:styleId="PrrafodelistaCar">
    <w:name w:val="Párrafo de lista Car"/>
    <w:link w:val="Prrafodelista"/>
    <w:uiPriority w:val="34"/>
    <w:rsid w:val="00A34ED4"/>
  </w:style>
  <w:style w:type="paragraph" w:styleId="Encabezado">
    <w:name w:val="header"/>
    <w:basedOn w:val="Normal"/>
    <w:link w:val="EncabezadoCar"/>
    <w:uiPriority w:val="99"/>
    <w:unhideWhenUsed/>
    <w:rsid w:val="002518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8E4"/>
  </w:style>
  <w:style w:type="paragraph" w:styleId="Piedepgina">
    <w:name w:val="footer"/>
    <w:basedOn w:val="Normal"/>
    <w:link w:val="PiedepginaCar"/>
    <w:uiPriority w:val="99"/>
    <w:unhideWhenUsed/>
    <w:rsid w:val="002518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8E4"/>
  </w:style>
  <w:style w:type="character" w:styleId="Mencinsinresolver">
    <w:name w:val="Unresolved Mention"/>
    <w:basedOn w:val="Fuentedeprrafopredeter"/>
    <w:uiPriority w:val="99"/>
    <w:semiHidden/>
    <w:unhideWhenUsed/>
    <w:rsid w:val="002518E4"/>
    <w:rPr>
      <w:color w:val="605E5C"/>
      <w:shd w:val="clear" w:color="auto" w:fill="E1DFDD"/>
    </w:rPr>
  </w:style>
  <w:style w:type="paragraph" w:styleId="NormalWeb">
    <w:name w:val="Normal (Web)"/>
    <w:basedOn w:val="Normal"/>
    <w:rsid w:val="00035C2A"/>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84992">
      <w:bodyDiv w:val="1"/>
      <w:marLeft w:val="0"/>
      <w:marRight w:val="0"/>
      <w:marTop w:val="0"/>
      <w:marBottom w:val="0"/>
      <w:divBdr>
        <w:top w:val="none" w:sz="0" w:space="0" w:color="auto"/>
        <w:left w:val="none" w:sz="0" w:space="0" w:color="auto"/>
        <w:bottom w:val="none" w:sz="0" w:space="0" w:color="auto"/>
        <w:right w:val="none" w:sz="0" w:space="0" w:color="auto"/>
      </w:divBdr>
    </w:div>
    <w:div w:id="1649750339">
      <w:bodyDiv w:val="1"/>
      <w:marLeft w:val="0"/>
      <w:marRight w:val="0"/>
      <w:marTop w:val="0"/>
      <w:marBottom w:val="0"/>
      <w:divBdr>
        <w:top w:val="none" w:sz="0" w:space="0" w:color="auto"/>
        <w:left w:val="none" w:sz="0" w:space="0" w:color="auto"/>
        <w:bottom w:val="none" w:sz="0" w:space="0" w:color="auto"/>
        <w:right w:val="none" w:sz="0" w:space="0" w:color="auto"/>
      </w:divBdr>
    </w:div>
    <w:div w:id="1718701398">
      <w:bodyDiv w:val="1"/>
      <w:marLeft w:val="0"/>
      <w:marRight w:val="0"/>
      <w:marTop w:val="0"/>
      <w:marBottom w:val="0"/>
      <w:divBdr>
        <w:top w:val="none" w:sz="0" w:space="0" w:color="auto"/>
        <w:left w:val="none" w:sz="0" w:space="0" w:color="auto"/>
        <w:bottom w:val="none" w:sz="0" w:space="0" w:color="auto"/>
        <w:right w:val="none" w:sz="0" w:space="0" w:color="auto"/>
      </w:divBdr>
    </w:div>
    <w:div w:id="1911386097">
      <w:bodyDiv w:val="1"/>
      <w:marLeft w:val="0"/>
      <w:marRight w:val="0"/>
      <w:marTop w:val="0"/>
      <w:marBottom w:val="0"/>
      <w:divBdr>
        <w:top w:val="none" w:sz="0" w:space="0" w:color="auto"/>
        <w:left w:val="none" w:sz="0" w:space="0" w:color="auto"/>
        <w:bottom w:val="none" w:sz="0" w:space="0" w:color="auto"/>
        <w:right w:val="none" w:sz="0" w:space="0" w:color="auto"/>
      </w:divBdr>
    </w:div>
    <w:div w:id="2063628631">
      <w:bodyDiv w:val="1"/>
      <w:marLeft w:val="0"/>
      <w:marRight w:val="0"/>
      <w:marTop w:val="0"/>
      <w:marBottom w:val="0"/>
      <w:divBdr>
        <w:top w:val="none" w:sz="0" w:space="0" w:color="auto"/>
        <w:left w:val="none" w:sz="0" w:space="0" w:color="auto"/>
        <w:bottom w:val="none" w:sz="0" w:space="0" w:color="auto"/>
        <w:right w:val="none" w:sz="0" w:space="0" w:color="auto"/>
      </w:divBdr>
    </w:div>
    <w:div w:id="20970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isteriodesalud.go.cr/index.php/biblioteca/material-educativo/material-publicado/indicadores-en-salud/indicadores-de-proteccion-financiera-en-salud/6054-informe-de-cuentas-de-salud-de-costa-rica-2017-2019/fi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tcddd.fhi.no/atc_ddd_index/" TargetMode="External"/><Relationship Id="rId4" Type="http://schemas.openxmlformats.org/officeDocument/2006/relationships/settings" Target="settings.xml"/><Relationship Id="rId9" Type="http://schemas.openxmlformats.org/officeDocument/2006/relationships/hyperlink" Target="https://www.paho.org/es/noticias/30-11-2010-informe-sobre-saludmundo-2010.%20Consultado%20el%2003/08/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6F55-0E05-4670-B3ED-F2F931F1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3521</Words>
  <Characters>19366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DESPACHO-MINISTRO</dc:creator>
  <cp:keywords/>
  <dc:description/>
  <cp:lastModifiedBy>Lic. Randall Madrigal Madrigal</cp:lastModifiedBy>
  <cp:revision>2</cp:revision>
  <dcterms:created xsi:type="dcterms:W3CDTF">2024-10-18T00:13:00Z</dcterms:created>
  <dcterms:modified xsi:type="dcterms:W3CDTF">2024-10-18T00:13:00Z</dcterms:modified>
</cp:coreProperties>
</file>